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6" w:lineRule="auto"/>
      </w:pPr>
      <w:r>
        <w:rPr>
          <w:w w:val="85"/>
        </w:rPr>
        <w:t>the pressure seems to maintain right up until its basically empty and then pulsates the last </w:t>
      </w:r>
      <w:r>
        <w:rPr>
          <w:rFonts w:ascii="Calibri" w:hAnsi="Calibri"/>
          <w:w w:val="85"/>
          <w:sz w:val="39"/>
        </w:rPr>
        <w:t>50-100</w:t>
      </w:r>
      <w:r>
        <w:rPr>
          <w:rFonts w:ascii="Calibri" w:hAnsi="Calibri"/>
          <w:sz w:val="39"/>
        </w:rPr>
        <w:t> </w:t>
      </w:r>
      <w:r>
        <w:rPr>
          <w:w w:val="85"/>
        </w:rPr>
        <w:t>ML </w:t>
      </w:r>
      <w:r>
        <w:rPr>
          <w:w w:val="90"/>
        </w:rPr>
        <w:t>out</w:t>
      </w:r>
      <w:r>
        <w:rPr>
          <w:spacing w:val="-10"/>
          <w:w w:val="90"/>
        </w:rPr>
        <w:t> </w:t>
      </w:r>
      <w:r>
        <w:rPr>
          <w:w w:val="90"/>
        </w:rPr>
        <w:t>like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w w:val="90"/>
          <w:sz w:val="39"/>
        </w:rPr>
        <w:t>ﬀ</w:t>
      </w:r>
      <w:r>
        <w:rPr>
          <w:rFonts w:ascii="Calibri" w:hAnsi="Calibri"/>
          <w:sz w:val="39"/>
        </w:rPr>
        <w:t> </w:t>
      </w:r>
      <w:r>
        <w:rPr>
          <w:rFonts w:ascii="Calibri" w:hAnsi="Calibri"/>
          <w:w w:val="90"/>
          <w:sz w:val="39"/>
        </w:rPr>
        <w:t>ﬂ</w:t>
      </w:r>
      <w:r>
        <w:rPr>
          <w:w w:val="90"/>
        </w:rPr>
        <w:t>ow</w:t>
      </w:r>
      <w:r>
        <w:rPr>
          <w:spacing w:val="-10"/>
          <w:w w:val="90"/>
        </w:rPr>
        <w:t> </w:t>
      </w:r>
      <w:r>
        <w:rPr>
          <w:w w:val="90"/>
        </w:rPr>
        <w:t>spasm</w:t>
      </w:r>
    </w:p>
    <w:p>
      <w:pPr>
        <w:pStyle w:val="BodyText"/>
        <w:spacing w:line="278" w:lineRule="auto" w:before="201"/>
        <w:ind w:right="318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500-1000</w:t>
      </w:r>
      <w:r>
        <w:rPr>
          <w:w w:val="90"/>
        </w:rPr>
        <w:t>ML</w:t>
      </w:r>
      <w:r>
        <w:rPr>
          <w:spacing w:val="-8"/>
          <w:w w:val="90"/>
        </w:rPr>
        <w:t> </w:t>
      </w:r>
      <w:r>
        <w:rPr>
          <w:w w:val="90"/>
        </w:rPr>
        <w:t>initial</w:t>
      </w:r>
      <w:r>
        <w:rPr>
          <w:spacing w:val="-8"/>
          <w:w w:val="90"/>
        </w:rPr>
        <w:t> </w:t>
      </w:r>
      <w:r>
        <w:rPr>
          <w:w w:val="90"/>
        </w:rPr>
        <w:t>dump</w:t>
      </w:r>
      <w:r>
        <w:rPr>
          <w:spacing w:val="-8"/>
          <w:w w:val="90"/>
        </w:rPr>
        <w:t> </w:t>
      </w:r>
      <w:r>
        <w:rPr>
          <w:w w:val="90"/>
        </w:rPr>
        <w:t>into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bag</w:t>
      </w:r>
      <w:r>
        <w:rPr>
          <w:spacing w:val="-8"/>
          <w:w w:val="90"/>
        </w:rPr>
        <w:t> </w:t>
      </w:r>
      <w:r>
        <w:rPr>
          <w:w w:val="90"/>
        </w:rPr>
        <w:t>just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owing</w:t>
      </w:r>
      <w:r>
        <w:rPr>
          <w:spacing w:val="-8"/>
          <w:w w:val="90"/>
        </w:rPr>
        <w:t> </w:t>
      </w:r>
      <w:r>
        <w:rPr>
          <w:w w:val="90"/>
        </w:rPr>
        <w:t>like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sink</w:t>
      </w:r>
      <w:r>
        <w:rPr>
          <w:spacing w:val="-8"/>
          <w:w w:val="90"/>
        </w:rPr>
        <w:t> </w:t>
      </w:r>
      <w:r>
        <w:rPr>
          <w:w w:val="90"/>
        </w:rPr>
        <w:t>faucet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attached</w:t>
      </w:r>
      <w:r>
        <w:rPr>
          <w:spacing w:val="-8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bag</w:t>
      </w:r>
      <w:r>
        <w:rPr>
          <w:spacing w:val="-18"/>
        </w:rPr>
        <w:t> </w:t>
      </w:r>
      <w:r>
        <w:rPr>
          <w:rFonts w:ascii="Arial" w:hAnsi="Arial"/>
          <w:spacing w:val="-6"/>
          <w:sz w:val="21"/>
        </w:rPr>
        <w:t>(</w:t>
      </w:r>
      <w:r>
        <w:rPr>
          <w:spacing w:val="-6"/>
        </w:rPr>
        <w:t>virtually</w:t>
      </w:r>
      <w:r>
        <w:rPr>
          <w:spacing w:val="-18"/>
        </w:rPr>
        <w:t> </w:t>
      </w:r>
      <w:r>
        <w:rPr>
          <w:spacing w:val="-6"/>
        </w:rPr>
        <w:t>same</w:t>
      </w:r>
      <w:r>
        <w:rPr>
          <w:spacing w:val="-18"/>
        </w:rPr>
        <w:t> 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ll</w:t>
      </w:r>
      <w:r>
        <w:rPr>
          <w:spacing w:val="-18"/>
        </w:rPr>
        <w:t> </w:t>
      </w:r>
      <w:r>
        <w:rPr>
          <w:spacing w:val="-6"/>
        </w:rPr>
        <w:t>rate</w:t>
      </w:r>
      <w:r>
        <w:rPr>
          <w:spacing w:val="-18"/>
        </w:rPr>
        <w:t> </w:t>
      </w:r>
      <w:r>
        <w:rPr>
          <w:spacing w:val="-6"/>
        </w:rPr>
        <w:t>as</w:t>
      </w:r>
      <w:r>
        <w:rPr>
          <w:spacing w:val="-18"/>
        </w:rPr>
        <w:t> </w:t>
      </w:r>
      <w:r>
        <w:rPr>
          <w:spacing w:val="-6"/>
        </w:rPr>
        <w:t>ive</w:t>
      </w:r>
      <w:r>
        <w:rPr>
          <w:spacing w:val="-18"/>
        </w:rPr>
        <w:t> </w:t>
      </w:r>
      <w:r>
        <w:rPr>
          <w:spacing w:val="-6"/>
        </w:rPr>
        <w:t>timed</w:t>
      </w:r>
      <w:r>
        <w:rPr>
          <w:spacing w:val="-18"/>
        </w:rPr>
        <w:t> </w:t>
      </w:r>
      <w:r>
        <w:rPr>
          <w:spacing w:val="-6"/>
        </w:rPr>
        <w:t>it</w:t>
      </w:r>
      <w:r>
        <w:rPr>
          <w:spacing w:val="-18"/>
        </w:rPr>
        <w:t> </w:t>
      </w:r>
      <w:r>
        <w:rPr>
          <w:spacing w:val="-6"/>
        </w:rPr>
        <w:t>before</w:t>
      </w:r>
      <w:r>
        <w:rPr>
          <w:rFonts w:ascii="Arial" w:hAnsi="Arial"/>
          <w:spacing w:val="-6"/>
          <w:sz w:val="21"/>
        </w:rPr>
        <w:t>)</w:t>
      </w:r>
    </w:p>
    <w:p>
      <w:pPr>
        <w:pStyle w:val="BodyText"/>
        <w:spacing w:before="212"/>
      </w:pPr>
      <w:r>
        <w:rPr>
          <w:w w:val="90"/>
        </w:rPr>
        <w:t>as</w:t>
      </w:r>
      <w:r>
        <w:rPr>
          <w:spacing w:val="-11"/>
          <w:w w:val="90"/>
        </w:rPr>
        <w:t> </w:t>
      </w:r>
      <w:r>
        <w:rPr>
          <w:w w:val="90"/>
        </w:rPr>
        <w:t>well</w:t>
      </w:r>
      <w:r>
        <w:rPr>
          <w:spacing w:val="-11"/>
          <w:w w:val="90"/>
        </w:rPr>
        <w:t> </w:t>
      </w:r>
      <w:r>
        <w:rPr>
          <w:w w:val="90"/>
        </w:rPr>
        <w:t>as</w:t>
      </w:r>
      <w:r>
        <w:rPr>
          <w:spacing w:val="-11"/>
          <w:w w:val="90"/>
        </w:rPr>
        <w:t> </w:t>
      </w:r>
      <w:r>
        <w:rPr>
          <w:w w:val="90"/>
        </w:rPr>
        <w:t>convert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mmhg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psi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sz w:val="21"/>
        </w:rPr>
        <w:t> </w:t>
      </w:r>
      <w:r>
        <w:rPr>
          <w:w w:val="90"/>
        </w:rPr>
        <w:t>even</w:t>
      </w:r>
      <w:r>
        <w:rPr>
          <w:spacing w:val="-11"/>
          <w:w w:val="90"/>
        </w:rPr>
        <w:t> </w:t>
      </w:r>
      <w:r>
        <w:rPr>
          <w:w w:val="90"/>
        </w:rPr>
        <w:t>decimal</w:t>
      </w:r>
      <w:r>
        <w:rPr>
          <w:spacing w:val="-10"/>
          <w:w w:val="90"/>
        </w:rPr>
        <w:t> </w:t>
      </w:r>
      <w:r>
        <w:rPr>
          <w:spacing w:val="-5"/>
          <w:w w:val="90"/>
        </w:rPr>
        <w:t>psi</w:t>
      </w:r>
    </w:p>
    <w:p>
      <w:pPr>
        <w:pStyle w:val="BodyText"/>
        <w:spacing w:before="5"/>
        <w:ind w:left="0"/>
        <w:rPr>
          <w:sz w:val="21"/>
        </w:rPr>
      </w:pPr>
    </w:p>
    <w:p>
      <w:pPr>
        <w:pStyle w:val="BodyText"/>
        <w:spacing w:line="278" w:lineRule="auto" w:before="0"/>
        <w:ind w:right="318"/>
        <w:rPr>
          <w:rFonts w:ascii="Arial" w:hAnsi="Arial"/>
          <w:sz w:val="21"/>
        </w:rPr>
      </w:pPr>
      <w:r>
        <w:rPr>
          <w:w w:val="90"/>
        </w:rPr>
        <w:t>What</w:t>
      </w:r>
      <w:r>
        <w:rPr>
          <w:spacing w:val="-15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are</w:t>
      </w:r>
      <w:r>
        <w:rPr>
          <w:spacing w:val="-15"/>
          <w:w w:val="90"/>
        </w:rPr>
        <w:t> </w:t>
      </w:r>
      <w:r>
        <w:rPr>
          <w:w w:val="90"/>
        </w:rPr>
        <w:t>describing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a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steady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faucet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like</w:t>
      </w:r>
      <w:r>
        <w:rPr>
          <w:b/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500–1000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mL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dump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then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pressure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held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until </w:t>
      </w:r>
      <w:r>
        <w:rPr>
          <w:b/>
          <w:w w:val="85"/>
        </w:rPr>
        <w:t>nearly empty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then pulsatile on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o</w:t>
      </w:r>
      <w:r>
        <w:rPr>
          <w:rFonts w:ascii="Arial" w:hAnsi="Arial"/>
          <w:b/>
          <w:w w:val="85"/>
          <w:sz w:val="21"/>
        </w:rPr>
        <w:t>ﬀ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expulsion of the last </w:t>
      </w:r>
      <w:r>
        <w:rPr>
          <w:rFonts w:ascii="Arial" w:hAnsi="Arial"/>
          <w:b/>
          <w:w w:val="85"/>
          <w:sz w:val="21"/>
        </w:rPr>
        <w:t>50–100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mL</w:t>
      </w:r>
      <w:r>
        <w:rPr>
          <w:rFonts w:ascii="Arial" w:hAnsi="Arial"/>
          <w:w w:val="85"/>
          <w:sz w:val="21"/>
        </w:rPr>
        <w:t>—ﬁ</w:t>
      </w:r>
      <w:r>
        <w:rPr>
          <w:w w:val="85"/>
        </w:rPr>
        <w:t>ts a bladder that is not </w:t>
      </w:r>
      <w:r>
        <w:rPr>
          <w:spacing w:val="-8"/>
        </w:rPr>
        <w:t>simply</w:t>
      </w:r>
      <w:r>
        <w:rPr>
          <w:spacing w:val="-20"/>
        </w:rPr>
        <w:t> </w:t>
      </w:r>
      <w:r>
        <w:rPr>
          <w:rFonts w:ascii="Arial" w:hAnsi="Arial"/>
          <w:spacing w:val="-8"/>
          <w:sz w:val="21"/>
        </w:rPr>
        <w:t>“</w:t>
      </w:r>
      <w:r>
        <w:rPr>
          <w:spacing w:val="-8"/>
        </w:rPr>
        <w:t>leaking</w:t>
      </w:r>
      <w:r>
        <w:rPr>
          <w:spacing w:val="-20"/>
        </w:rPr>
        <w:t> </w:t>
      </w:r>
      <w:r>
        <w:rPr>
          <w:spacing w:val="-8"/>
        </w:rPr>
        <w:t>under</w:t>
      </w:r>
      <w:r>
        <w:rPr>
          <w:spacing w:val="-20"/>
        </w:rPr>
        <w:t> </w:t>
      </w:r>
      <w:r>
        <w:rPr>
          <w:spacing w:val="-8"/>
        </w:rPr>
        <w:t>gravity</w:t>
      </w:r>
      <w:r>
        <w:rPr>
          <w:rFonts w:ascii="Arial" w:hAnsi="Arial"/>
          <w:spacing w:val="-8"/>
          <w:sz w:val="21"/>
        </w:rPr>
        <w:t>.” </w:t>
      </w:r>
      <w:r>
        <w:rPr>
          <w:spacing w:val="-8"/>
        </w:rPr>
        <w:t>It</w:t>
      </w:r>
      <w:r>
        <w:rPr>
          <w:spacing w:val="-20"/>
        </w:rPr>
        <w:t>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being</w:t>
      </w:r>
      <w:r>
        <w:rPr>
          <w:spacing w:val="-20"/>
        </w:rPr>
        <w:t> </w:t>
      </w:r>
      <w:r>
        <w:rPr>
          <w:spacing w:val="-8"/>
        </w:rPr>
        <w:t>actively</w:t>
      </w:r>
      <w:r>
        <w:rPr>
          <w:spacing w:val="-20"/>
        </w:rPr>
        <w:t> </w:t>
      </w:r>
      <w:r>
        <w:rPr>
          <w:spacing w:val="-8"/>
        </w:rPr>
        <w:t>squeezed</w:t>
      </w:r>
      <w:r>
        <w:rPr>
          <w:spacing w:val="-20"/>
        </w:rPr>
        <w:t> </w:t>
      </w:r>
      <w:r>
        <w:rPr>
          <w:spacing w:val="-8"/>
        </w:rPr>
        <w:t>by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detrusor</w:t>
      </w:r>
      <w:r>
        <w:rPr>
          <w:spacing w:val="-20"/>
        </w:rPr>
        <w:t> </w:t>
      </w:r>
      <w:r>
        <w:rPr>
          <w:spacing w:val="-8"/>
        </w:rPr>
        <w:t>muscle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with </w:t>
      </w:r>
      <w:r>
        <w:rPr>
          <w:spacing w:val="-6"/>
        </w:rPr>
        <w:t>intermittent</w:t>
      </w:r>
      <w:r>
        <w:rPr>
          <w:spacing w:val="-15"/>
        </w:rPr>
        <w:t> </w:t>
      </w:r>
      <w:r>
        <w:rPr>
          <w:spacing w:val="-6"/>
        </w:rPr>
        <w:t>contractions</w:t>
      </w:r>
      <w:r>
        <w:rPr>
          <w:spacing w:val="-15"/>
        </w:rPr>
        <w:t> </w:t>
      </w:r>
      <w:r>
        <w:rPr>
          <w:spacing w:val="-6"/>
        </w:rPr>
        <w:t>at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6"/>
        </w:rPr>
        <w:t>end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initial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dump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suggests</w:t>
      </w:r>
    </w:p>
    <w:p>
      <w:pPr>
        <w:pStyle w:val="BodyText"/>
        <w:spacing w:line="278" w:lineRule="auto" w:before="189"/>
        <w:ind w:right="318"/>
        <w:rPr>
          <w:rFonts w:ascii="Arial" w:hAnsi="Arial"/>
          <w:sz w:val="21"/>
        </w:rPr>
      </w:pPr>
      <w:r>
        <w:rPr>
          <w:w w:val="90"/>
        </w:rPr>
        <w:t>A </w:t>
      </w:r>
      <w:r>
        <w:rPr>
          <w:rFonts w:ascii="Arial" w:hAnsi="Arial"/>
          <w:w w:val="90"/>
          <w:sz w:val="21"/>
        </w:rPr>
        <w:t>500–1000 </w:t>
      </w:r>
      <w:r>
        <w:rPr>
          <w:w w:val="90"/>
        </w:rPr>
        <w:t>mL initial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at a sink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 rate means the bladder was substantially over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lled and had enough pressure to overcome catheter resistance immediately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consistent with a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or at least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volume retention pattern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 normal 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 residual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/>
        <w:ind w:right="318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exact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depends</w:t>
      </w:r>
      <w:r>
        <w:rPr>
          <w:spacing w:val="-11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1"/>
          <w:w w:val="90"/>
        </w:rPr>
        <w:t> </w:t>
      </w:r>
      <w:r>
        <w:rPr>
          <w:w w:val="90"/>
        </w:rPr>
        <w:t>internal</w:t>
      </w:r>
      <w:r>
        <w:rPr>
          <w:spacing w:val="-11"/>
          <w:w w:val="90"/>
        </w:rPr>
        <w:t> </w:t>
      </w:r>
      <w:r>
        <w:rPr>
          <w:w w:val="90"/>
        </w:rPr>
        <w:t>drainage</w:t>
      </w:r>
      <w:r>
        <w:rPr>
          <w:spacing w:val="-11"/>
          <w:w w:val="90"/>
        </w:rPr>
        <w:t> </w:t>
      </w:r>
      <w:r>
        <w:rPr>
          <w:w w:val="90"/>
        </w:rPr>
        <w:t>diameter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how</w:t>
      </w:r>
      <w:r>
        <w:rPr>
          <w:spacing w:val="-11"/>
          <w:w w:val="90"/>
        </w:rPr>
        <w:t> </w:t>
      </w:r>
      <w:r>
        <w:rPr>
          <w:w w:val="90"/>
        </w:rPr>
        <w:t>long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</w:t>
      </w:r>
      <w:r>
        <w:rPr>
          <w:spacing w:val="-6"/>
        </w:rPr>
        <w:t>lasted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your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55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cm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rFonts w:ascii="Arial" w:hAnsi="Arial"/>
          <w:spacing w:val="-6"/>
          <w:sz w:val="21"/>
        </w:rPr>
        <w:t>20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Fr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3-</w:t>
      </w:r>
      <w:r>
        <w:rPr>
          <w:spacing w:val="-6"/>
        </w:rPr>
        <w:t>way</w:t>
      </w:r>
      <w:r>
        <w:rPr>
          <w:spacing w:val="-23"/>
        </w:rPr>
        <w:t> </w:t>
      </w:r>
      <w:r>
        <w:rPr>
          <w:spacing w:val="-6"/>
        </w:rPr>
        <w:t>catheter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reasonable</w:t>
      </w:r>
      <w:r>
        <w:rPr>
          <w:spacing w:val="-23"/>
        </w:rPr>
        <w:t> </w:t>
      </w:r>
      <w:r>
        <w:rPr>
          <w:spacing w:val="-6"/>
        </w:rPr>
        <w:t>estimate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rFonts w:ascii="Arial" w:hAnsi="Arial"/>
          <w:spacing w:val="-6"/>
          <w:sz w:val="21"/>
        </w:rPr>
        <w:t>:</w:t>
      </w:r>
    </w:p>
    <w:p>
      <w:pPr>
        <w:pStyle w:val="BodyText"/>
        <w:spacing w:before="1" w:after="1"/>
        <w:ind w:left="0"/>
        <w:rPr>
          <w:rFonts w:ascii="Arial"/>
          <w:sz w:val="18"/>
        </w:rPr>
      </w:pPr>
    </w:p>
    <w:tbl>
      <w:tblPr>
        <w:tblW w:w="0" w:type="auto"/>
        <w:jc w:val="left"/>
        <w:tblInd w:w="142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0"/>
        <w:gridCol w:w="1875"/>
        <w:gridCol w:w="1785"/>
        <w:gridCol w:w="1875"/>
      </w:tblGrid>
      <w:tr>
        <w:trPr>
          <w:trHeight w:val="434" w:hRule="atLeast"/>
        </w:trPr>
        <w:tc>
          <w:tcPr>
            <w:tcW w:w="1710" w:type="dxa"/>
          </w:tcPr>
          <w:p>
            <w:pPr>
              <w:pStyle w:val="TableParagraph"/>
              <w:spacing w:before="93"/>
              <w:ind w:left="198"/>
              <w:jc w:val="left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Drainage</w:t>
            </w:r>
            <w:r>
              <w:rPr>
                <w:b w:val="0"/>
                <w:sz w:val="16"/>
              </w:rPr>
              <w:t>-</w:t>
            </w:r>
            <w:r>
              <w:rPr>
                <w:rFonts w:ascii="Calibri"/>
                <w:sz w:val="17"/>
              </w:rPr>
              <w:t>lumen</w:t>
            </w:r>
            <w:r>
              <w:rPr>
                <w:rFonts w:ascii="Calibri"/>
                <w:spacing w:val="3"/>
                <w:sz w:val="17"/>
              </w:rPr>
              <w:t> </w:t>
            </w:r>
            <w:r>
              <w:rPr>
                <w:rFonts w:ascii="Calibri"/>
                <w:spacing w:val="-5"/>
                <w:sz w:val="17"/>
              </w:rPr>
              <w:t>ID</w:t>
            </w:r>
          </w:p>
        </w:tc>
        <w:tc>
          <w:tcPr>
            <w:tcW w:w="1875" w:type="dxa"/>
          </w:tcPr>
          <w:p>
            <w:pPr>
              <w:pStyle w:val="TableParagraph"/>
              <w:spacing w:before="93"/>
              <w:ind w:right="190"/>
              <w:rPr>
                <w:rFonts w:ascii="Calibri"/>
                <w:sz w:val="17"/>
              </w:rPr>
            </w:pPr>
            <w:r>
              <w:rPr>
                <w:b w:val="0"/>
                <w:w w:val="105"/>
                <w:sz w:val="16"/>
              </w:rPr>
              <w:t>500</w:t>
            </w:r>
            <w:r>
              <w:rPr>
                <w:b w:val="0"/>
                <w:spacing w:val="-10"/>
                <w:w w:val="105"/>
                <w:sz w:val="16"/>
              </w:rPr>
              <w:t> </w:t>
            </w:r>
            <w:r>
              <w:rPr>
                <w:rFonts w:ascii="Calibri"/>
                <w:w w:val="105"/>
                <w:sz w:val="17"/>
              </w:rPr>
              <w:t>mL</w:t>
            </w:r>
            <w:r>
              <w:rPr>
                <w:rFonts w:ascii="Calibri"/>
                <w:spacing w:val="-10"/>
                <w:w w:val="105"/>
                <w:sz w:val="17"/>
              </w:rPr>
              <w:t> </w:t>
            </w:r>
            <w:r>
              <w:rPr>
                <w:rFonts w:ascii="Calibri"/>
                <w:w w:val="105"/>
                <w:sz w:val="17"/>
              </w:rPr>
              <w:t>in</w:t>
            </w:r>
            <w:r>
              <w:rPr>
                <w:rFonts w:ascii="Calibri"/>
                <w:spacing w:val="-10"/>
                <w:w w:val="105"/>
                <w:sz w:val="17"/>
              </w:rPr>
              <w:t> </w:t>
            </w:r>
            <w:r>
              <w:rPr>
                <w:b w:val="0"/>
                <w:w w:val="105"/>
                <w:sz w:val="16"/>
              </w:rPr>
              <w:t>5</w:t>
            </w:r>
            <w:r>
              <w:rPr>
                <w:b w:val="0"/>
                <w:spacing w:val="-9"/>
                <w:w w:val="105"/>
                <w:sz w:val="16"/>
              </w:rPr>
              <w:t> </w:t>
            </w:r>
            <w:r>
              <w:rPr>
                <w:rFonts w:ascii="Calibri"/>
                <w:spacing w:val="-10"/>
                <w:w w:val="105"/>
                <w:sz w:val="17"/>
              </w:rPr>
              <w:t>s</w:t>
            </w:r>
          </w:p>
        </w:tc>
        <w:tc>
          <w:tcPr>
            <w:tcW w:w="1785" w:type="dxa"/>
          </w:tcPr>
          <w:p>
            <w:pPr>
              <w:pStyle w:val="TableParagraph"/>
              <w:spacing w:before="93"/>
              <w:ind w:right="182"/>
              <w:rPr>
                <w:rFonts w:ascii="Calibri"/>
                <w:sz w:val="17"/>
              </w:rPr>
            </w:pPr>
            <w:r>
              <w:rPr>
                <w:b w:val="0"/>
                <w:sz w:val="16"/>
              </w:rPr>
              <w:t>500</w:t>
            </w:r>
            <w:r>
              <w:rPr>
                <w:b w:val="0"/>
                <w:spacing w:val="-1"/>
                <w:sz w:val="16"/>
              </w:rPr>
              <w:t> </w:t>
            </w:r>
            <w:r>
              <w:rPr>
                <w:rFonts w:ascii="Calibri"/>
                <w:sz w:val="17"/>
              </w:rPr>
              <w:t>mL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sz w:val="17"/>
              </w:rPr>
              <w:t>in </w:t>
            </w:r>
            <w:r>
              <w:rPr>
                <w:b w:val="0"/>
                <w:sz w:val="16"/>
              </w:rPr>
              <w:t>10</w:t>
            </w:r>
            <w:r>
              <w:rPr>
                <w:b w:val="0"/>
                <w:spacing w:val="2"/>
                <w:sz w:val="16"/>
              </w:rPr>
              <w:t> </w:t>
            </w:r>
            <w:r>
              <w:rPr>
                <w:rFonts w:ascii="Calibri"/>
                <w:spacing w:val="-10"/>
                <w:sz w:val="17"/>
              </w:rPr>
              <w:t>s</w:t>
            </w:r>
          </w:p>
        </w:tc>
        <w:tc>
          <w:tcPr>
            <w:tcW w:w="1875" w:type="dxa"/>
          </w:tcPr>
          <w:p>
            <w:pPr>
              <w:pStyle w:val="TableParagraph"/>
              <w:spacing w:before="93"/>
              <w:ind w:right="181"/>
              <w:rPr>
                <w:rFonts w:ascii="Calibri"/>
                <w:sz w:val="17"/>
              </w:rPr>
            </w:pPr>
            <w:r>
              <w:rPr>
                <w:b w:val="0"/>
                <w:sz w:val="16"/>
              </w:rPr>
              <w:t>1000</w:t>
            </w:r>
            <w:r>
              <w:rPr>
                <w:b w:val="0"/>
                <w:spacing w:val="2"/>
                <w:sz w:val="16"/>
              </w:rPr>
              <w:t> </w:t>
            </w:r>
            <w:r>
              <w:rPr>
                <w:rFonts w:ascii="Calibri"/>
                <w:sz w:val="17"/>
              </w:rPr>
              <w:t>mL in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b w:val="0"/>
                <w:sz w:val="16"/>
              </w:rPr>
              <w:t>10</w:t>
            </w:r>
            <w:r>
              <w:rPr>
                <w:b w:val="0"/>
                <w:spacing w:val="2"/>
                <w:sz w:val="16"/>
              </w:rPr>
              <w:t> </w:t>
            </w:r>
            <w:r>
              <w:rPr>
                <w:rFonts w:ascii="Calibri"/>
                <w:spacing w:val="-10"/>
                <w:sz w:val="17"/>
              </w:rPr>
              <w:t>s</w:t>
            </w:r>
          </w:p>
        </w:tc>
      </w:tr>
      <w:tr>
        <w:trPr>
          <w:trHeight w:val="419" w:hRule="atLeast"/>
        </w:trPr>
        <w:tc>
          <w:tcPr>
            <w:tcW w:w="1710" w:type="dxa"/>
          </w:tcPr>
          <w:p>
            <w:pPr>
              <w:pStyle w:val="TableParagraph"/>
              <w:ind w:left="198"/>
              <w:jc w:val="left"/>
              <w:rPr>
                <w:rFonts w:ascii="Tahoma"/>
                <w:sz w:val="17"/>
              </w:rPr>
            </w:pPr>
            <w:r>
              <w:rPr>
                <w:b w:val="0"/>
                <w:sz w:val="16"/>
              </w:rPr>
              <w:t>3.5</w:t>
            </w:r>
            <w:r>
              <w:rPr>
                <w:b w:val="0"/>
                <w:spacing w:val="-1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mm</w:t>
            </w:r>
          </w:p>
        </w:tc>
        <w:tc>
          <w:tcPr>
            <w:tcW w:w="1875" w:type="dxa"/>
          </w:tcPr>
          <w:p>
            <w:pPr>
              <w:pStyle w:val="TableParagraph"/>
              <w:ind w:right="190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112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2.17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785" w:type="dxa"/>
          </w:tcPr>
          <w:p>
            <w:pPr>
              <w:pStyle w:val="TableParagraph"/>
              <w:ind w:right="182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56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1.08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75" w:type="dxa"/>
          </w:tcPr>
          <w:p>
            <w:pPr>
              <w:pStyle w:val="TableParagraph"/>
              <w:ind w:right="181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112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2.17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34" w:hRule="atLeast"/>
        </w:trPr>
        <w:tc>
          <w:tcPr>
            <w:tcW w:w="1710" w:type="dxa"/>
            <w:shd w:val="clear" w:color="auto" w:fill="F5F7FA"/>
          </w:tcPr>
          <w:p>
            <w:pPr>
              <w:pStyle w:val="TableParagraph"/>
              <w:ind w:left="198"/>
              <w:jc w:val="left"/>
              <w:rPr>
                <w:rFonts w:ascii="Tahoma"/>
                <w:sz w:val="17"/>
              </w:rPr>
            </w:pPr>
            <w:r>
              <w:rPr>
                <w:b w:val="0"/>
                <w:sz w:val="16"/>
              </w:rPr>
              <w:t>4.0</w:t>
            </w:r>
            <w:r>
              <w:rPr>
                <w:b w:val="0"/>
                <w:spacing w:val="-1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mm</w:t>
            </w:r>
          </w:p>
        </w:tc>
        <w:tc>
          <w:tcPr>
            <w:tcW w:w="1875" w:type="dxa"/>
            <w:shd w:val="clear" w:color="auto" w:fill="F5F7FA"/>
          </w:tcPr>
          <w:p>
            <w:pPr>
              <w:pStyle w:val="TableParagraph"/>
              <w:ind w:right="190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66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1.28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785" w:type="dxa"/>
            <w:shd w:val="clear" w:color="auto" w:fill="F5F7FA"/>
          </w:tcPr>
          <w:p>
            <w:pPr>
              <w:pStyle w:val="TableParagraph"/>
              <w:ind w:right="182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33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0.64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75" w:type="dxa"/>
            <w:shd w:val="clear" w:color="auto" w:fill="F5F7FA"/>
          </w:tcPr>
          <w:p>
            <w:pPr>
              <w:pStyle w:val="TableParagraph"/>
              <w:ind w:right="181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66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1.28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</w:tbl>
    <w:p>
      <w:pPr>
        <w:pStyle w:val="BodyText"/>
        <w:spacing w:line="278" w:lineRule="auto" w:before="169"/>
        <w:ind w:right="318"/>
        <w:rPr>
          <w:rFonts w:ascii="Arial" w:hAnsi="Arial"/>
          <w:sz w:val="21"/>
        </w:rPr>
      </w:pPr>
      <w:r>
        <w:rPr>
          <w:w w:val="90"/>
        </w:rPr>
        <w:t>So the initial phase is plausibly in the </w:t>
      </w:r>
      <w:r>
        <w:rPr>
          <w:rFonts w:ascii="Arial" w:hAnsi="Arial"/>
          <w:b/>
          <w:w w:val="90"/>
          <w:sz w:val="21"/>
        </w:rPr>
        <w:t>0.6–2.2 </w:t>
      </w:r>
      <w:r>
        <w:rPr>
          <w:b/>
          <w:w w:val="90"/>
        </w:rPr>
        <w:t>psi </w:t>
      </w:r>
      <w:r>
        <w:rPr>
          <w:w w:val="90"/>
        </w:rPr>
        <w:t>range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</w:t>
      </w:r>
      <w:r>
        <w:rPr>
          <w:b/>
          <w:w w:val="90"/>
        </w:rPr>
        <w:t>about</w:t>
      </w:r>
      <w:r>
        <w:rPr>
          <w:b/>
          <w:spacing w:val="-3"/>
          <w:w w:val="90"/>
        </w:rPr>
        <w:t> </w:t>
      </w:r>
      <w:r>
        <w:rPr>
          <w:rFonts w:ascii="Arial" w:hAnsi="Arial"/>
          <w:b/>
          <w:w w:val="90"/>
          <w:sz w:val="21"/>
        </w:rPr>
        <w:t>1–2 </w:t>
      </w:r>
      <w:r>
        <w:rPr>
          <w:b/>
          <w:w w:val="90"/>
        </w:rPr>
        <w:t>psi </w:t>
      </w:r>
      <w:r>
        <w:rPr>
          <w:w w:val="90"/>
        </w:rPr>
        <w:t>a reasonable working</w:t>
      </w:r>
      <w:r>
        <w:rPr>
          <w:spacing w:val="-10"/>
          <w:w w:val="90"/>
        </w:rPr>
        <w:t> </w:t>
      </w:r>
      <w:r>
        <w:rPr>
          <w:w w:val="90"/>
        </w:rPr>
        <w:t>estimate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0"/>
          <w:w w:val="90"/>
        </w:rPr>
        <w:t> </w:t>
      </w:r>
      <w:r>
        <w:rPr>
          <w:w w:val="90"/>
        </w:rPr>
        <w:t>was</w:t>
      </w:r>
      <w:r>
        <w:rPr>
          <w:spacing w:val="-10"/>
          <w:w w:val="90"/>
        </w:rPr>
        <w:t> </w:t>
      </w:r>
      <w:r>
        <w:rPr>
          <w:w w:val="90"/>
        </w:rPr>
        <w:t>very</w:t>
      </w:r>
      <w:r>
        <w:rPr>
          <w:spacing w:val="-10"/>
          <w:w w:val="90"/>
        </w:rPr>
        <w:t> </w:t>
      </w:r>
      <w:r>
        <w:rPr>
          <w:w w:val="90"/>
        </w:rPr>
        <w:t>fast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These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10"/>
          <w:w w:val="90"/>
        </w:rPr>
        <w:t> </w:t>
      </w:r>
      <w:r>
        <w:rPr>
          <w:w w:val="90"/>
        </w:rPr>
        <w:t>averages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measured</w:t>
      </w:r>
      <w:r>
        <w:rPr>
          <w:spacing w:val="-10"/>
          <w:w w:val="90"/>
        </w:rPr>
        <w:t> </w:t>
      </w:r>
      <w:r>
        <w:rPr>
          <w:w w:val="90"/>
        </w:rPr>
        <w:t>peak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actual </w:t>
      </w:r>
      <w:r>
        <w:rPr>
          <w:spacing w:val="-4"/>
        </w:rPr>
        <w:t>peak</w:t>
      </w:r>
      <w:r>
        <w:rPr>
          <w:spacing w:val="-23"/>
        </w:rPr>
        <w:t> </w:t>
      </w:r>
      <w:r>
        <w:rPr>
          <w:spacing w:val="-4"/>
        </w:rPr>
        <w:t>pressure</w:t>
      </w:r>
      <w:r>
        <w:rPr>
          <w:spacing w:val="-23"/>
        </w:rPr>
        <w:t> </w:t>
      </w:r>
      <w:r>
        <w:rPr>
          <w:spacing w:val="-4"/>
        </w:rPr>
        <w:t>was</w:t>
      </w:r>
      <w:r>
        <w:rPr>
          <w:spacing w:val="-23"/>
        </w:rPr>
        <w:t> </w:t>
      </w:r>
      <w:r>
        <w:rPr>
          <w:spacing w:val="-4"/>
        </w:rPr>
        <w:t>likely</w:t>
      </w:r>
      <w:r>
        <w:rPr>
          <w:spacing w:val="-23"/>
        </w:rPr>
        <w:t> </w:t>
      </w:r>
      <w:r>
        <w:rPr>
          <w:spacing w:val="-4"/>
        </w:rPr>
        <w:t>higher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5"/>
          <w:w w:val="85"/>
        </w:rPr>
        <w:t> </w:t>
      </w:r>
      <w:r>
        <w:rPr>
          <w:rFonts w:ascii="Arial" w:hAnsi="Arial"/>
          <w:b/>
          <w:w w:val="85"/>
          <w:sz w:val="23"/>
        </w:rPr>
        <w:t>ﬁ</w:t>
      </w:r>
      <w:r>
        <w:rPr>
          <w:b/>
          <w:w w:val="85"/>
        </w:rPr>
        <w:t>nal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pulsating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phase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means</w:t>
      </w:r>
    </w:p>
    <w:p>
      <w:pPr>
        <w:pStyle w:val="BodyText"/>
        <w:spacing w:line="278" w:lineRule="auto" w:before="188"/>
        <w:ind w:right="318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last</w:t>
      </w:r>
      <w:r>
        <w:rPr>
          <w:spacing w:val="-13"/>
          <w:w w:val="90"/>
        </w:rPr>
        <w:t> </w:t>
      </w:r>
      <w:r>
        <w:rPr>
          <w:rFonts w:ascii="Arial" w:hAnsi="Arial"/>
          <w:w w:val="90"/>
          <w:sz w:val="21"/>
        </w:rPr>
        <w:t>50–100 </w:t>
      </w:r>
      <w:r>
        <w:rPr>
          <w:w w:val="90"/>
        </w:rPr>
        <w:t>mL</w:t>
      </w:r>
      <w:r>
        <w:rPr>
          <w:spacing w:val="-13"/>
          <w:w w:val="90"/>
        </w:rPr>
        <w:t> </w:t>
      </w:r>
      <w:r>
        <w:rPr>
          <w:w w:val="90"/>
        </w:rPr>
        <w:t>coming</w:t>
      </w:r>
      <w:r>
        <w:rPr>
          <w:spacing w:val="-13"/>
          <w:w w:val="90"/>
        </w:rPr>
        <w:t> </w:t>
      </w:r>
      <w:r>
        <w:rPr>
          <w:w w:val="90"/>
        </w:rPr>
        <w:t>out</w:t>
      </w:r>
      <w:r>
        <w:rPr>
          <w:spacing w:val="-13"/>
          <w:w w:val="90"/>
        </w:rPr>
        <w:t> </w:t>
      </w:r>
      <w:r>
        <w:rPr>
          <w:w w:val="90"/>
        </w:rPr>
        <w:t>in</w:t>
      </w:r>
      <w:r>
        <w:rPr>
          <w:spacing w:val="-13"/>
          <w:w w:val="90"/>
        </w:rPr>
        <w:t> </w:t>
      </w:r>
      <w:r>
        <w:rPr>
          <w:w w:val="90"/>
        </w:rPr>
        <w:t>on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ﬀ </w:t>
      </w:r>
      <w:r>
        <w:rPr>
          <w:w w:val="90"/>
        </w:rPr>
        <w:t>bursts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consistent</w:t>
      </w:r>
      <w:r>
        <w:rPr>
          <w:spacing w:val="-13"/>
          <w:w w:val="90"/>
        </w:rPr>
        <w:t> </w:t>
      </w:r>
      <w:r>
        <w:rPr>
          <w:w w:val="90"/>
        </w:rPr>
        <w:t>with</w:t>
      </w:r>
      <w:r>
        <w:rPr>
          <w:spacing w:val="-13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contractions</w:t>
      </w:r>
      <w:r>
        <w:rPr>
          <w:b/>
          <w:spacing w:val="-14"/>
          <w:w w:val="90"/>
        </w:rPr>
        <w:t> </w:t>
      </w:r>
      <w:r>
        <w:rPr>
          <w:w w:val="90"/>
        </w:rPr>
        <w:t>rather than steady pressure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bladder wall contracts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pressure rises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urine exits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then the </w:t>
      </w:r>
      <w:r>
        <w:rPr>
          <w:spacing w:val="-8"/>
        </w:rPr>
        <w:t>contraction</w:t>
      </w:r>
      <w:r>
        <w:rPr>
          <w:spacing w:val="-14"/>
        </w:rPr>
        <w:t> </w:t>
      </w:r>
      <w:r>
        <w:rPr>
          <w:spacing w:val="-8"/>
        </w:rPr>
        <w:t>relaxes</w:t>
      </w:r>
      <w:r>
        <w:rPr>
          <w:rFonts w:ascii="Arial" w:hAnsi="Arial"/>
          <w:spacing w:val="-8"/>
          <w:sz w:val="21"/>
        </w:rPr>
        <w:t>, ﬂ</w:t>
      </w:r>
      <w:r>
        <w:rPr>
          <w:spacing w:val="-8"/>
        </w:rPr>
        <w:t>ow</w:t>
      </w:r>
      <w:r>
        <w:rPr>
          <w:spacing w:val="-14"/>
        </w:rPr>
        <w:t> </w:t>
      </w:r>
      <w:r>
        <w:rPr>
          <w:spacing w:val="-8"/>
        </w:rPr>
        <w:t>stops</w:t>
      </w:r>
      <w:r>
        <w:rPr>
          <w:rFonts w:ascii="Arial" w:hAnsi="Arial"/>
          <w:spacing w:val="-8"/>
          <w:sz w:val="21"/>
        </w:rPr>
        <w:t>; </w:t>
      </w:r>
      <w:r>
        <w:rPr>
          <w:spacing w:val="-8"/>
        </w:rPr>
        <w:t>then</w:t>
      </w:r>
      <w:r>
        <w:rPr>
          <w:spacing w:val="-14"/>
        </w:rPr>
        <w:t> </w:t>
      </w:r>
      <w:r>
        <w:rPr>
          <w:spacing w:val="-8"/>
        </w:rPr>
        <w:t>it</w:t>
      </w:r>
      <w:r>
        <w:rPr>
          <w:spacing w:val="-14"/>
        </w:rPr>
        <w:t> </w:t>
      </w:r>
      <w:r>
        <w:rPr>
          <w:spacing w:val="-8"/>
        </w:rPr>
        <w:t>contracts</w:t>
      </w:r>
      <w:r>
        <w:rPr>
          <w:spacing w:val="-14"/>
        </w:rPr>
        <w:t> </w:t>
      </w:r>
      <w:r>
        <w:rPr>
          <w:spacing w:val="-8"/>
        </w:rPr>
        <w:t>again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rPr>
          <w:rFonts w:ascii="Arial" w:hAnsi="Arial"/>
          <w:sz w:val="21"/>
        </w:rPr>
      </w:pPr>
      <w:r>
        <w:rPr>
          <w:w w:val="90"/>
        </w:rPr>
        <w:t>Using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same</w:t>
      </w:r>
      <w:r>
        <w:rPr>
          <w:spacing w:val="-12"/>
          <w:w w:val="90"/>
        </w:rPr>
        <w:t> </w:t>
      </w:r>
      <w:r>
        <w:rPr>
          <w:w w:val="90"/>
        </w:rPr>
        <w:t>catheter</w:t>
      </w:r>
      <w:r>
        <w:rPr>
          <w:spacing w:val="-12"/>
          <w:w w:val="90"/>
        </w:rPr>
        <w:t> </w:t>
      </w:r>
      <w:r>
        <w:rPr>
          <w:w w:val="90"/>
        </w:rPr>
        <w:t>assumptions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sz w:val="21"/>
        </w:rPr>
        <w:t> </w:t>
      </w:r>
      <w:r>
        <w:rPr>
          <w:w w:val="90"/>
        </w:rPr>
        <w:t>each</w:t>
      </w:r>
      <w:r>
        <w:rPr>
          <w:spacing w:val="-12"/>
          <w:w w:val="90"/>
        </w:rPr>
        <w:t> </w:t>
      </w:r>
      <w:r>
        <w:rPr>
          <w:rFonts w:ascii="Arial" w:hAnsi="Arial"/>
          <w:w w:val="90"/>
          <w:sz w:val="21"/>
        </w:rPr>
        <w:t>50–100</w:t>
      </w:r>
      <w:r>
        <w:rPr>
          <w:rFonts w:ascii="Arial" w:hAnsi="Arial"/>
          <w:spacing w:val="-5"/>
          <w:sz w:val="21"/>
        </w:rPr>
        <w:t> </w:t>
      </w:r>
      <w:r>
        <w:rPr>
          <w:w w:val="90"/>
        </w:rPr>
        <w:t>mL</w:t>
      </w:r>
      <w:r>
        <w:rPr>
          <w:spacing w:val="-12"/>
          <w:w w:val="90"/>
        </w:rPr>
        <w:t> </w:t>
      </w:r>
      <w:r>
        <w:rPr>
          <w:w w:val="90"/>
        </w:rPr>
        <w:t>pulse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implies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after="0"/>
        <w:rPr>
          <w:rFonts w:ascii="Arial" w:hAns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tbl>
      <w:tblPr>
        <w:tblW w:w="0" w:type="auto"/>
        <w:jc w:val="left"/>
        <w:tblInd w:w="220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0"/>
        <w:gridCol w:w="1785"/>
        <w:gridCol w:w="1830"/>
      </w:tblGrid>
      <w:tr>
        <w:trPr>
          <w:trHeight w:val="434" w:hRule="atLeast"/>
        </w:trPr>
        <w:tc>
          <w:tcPr>
            <w:tcW w:w="2070" w:type="dxa"/>
          </w:tcPr>
          <w:p>
            <w:pPr>
              <w:pStyle w:val="TableParagraph"/>
              <w:spacing w:before="93"/>
              <w:ind w:left="197"/>
              <w:jc w:val="left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Pulse</w:t>
            </w:r>
            <w:r>
              <w:rPr>
                <w:rFonts w:ascii="Calibri"/>
                <w:spacing w:val="-1"/>
                <w:sz w:val="17"/>
              </w:rPr>
              <w:t> </w:t>
            </w:r>
            <w:r>
              <w:rPr>
                <w:rFonts w:ascii="Calibri"/>
                <w:sz w:val="17"/>
              </w:rPr>
              <w:t>volume</w:t>
            </w:r>
            <w:r>
              <w:rPr>
                <w:rFonts w:ascii="Calibri"/>
                <w:spacing w:val="-1"/>
                <w:sz w:val="17"/>
              </w:rPr>
              <w:t> </w:t>
            </w:r>
            <w:r>
              <w:rPr>
                <w:b w:val="0"/>
                <w:sz w:val="16"/>
              </w:rPr>
              <w:t>/</w:t>
            </w:r>
            <w:r>
              <w:rPr>
                <w:b w:val="0"/>
                <w:spacing w:val="2"/>
                <w:sz w:val="16"/>
              </w:rPr>
              <w:t> </w:t>
            </w:r>
            <w:r>
              <w:rPr>
                <w:rFonts w:ascii="Calibri"/>
                <w:spacing w:val="-2"/>
                <w:sz w:val="17"/>
              </w:rPr>
              <w:t>duration</w:t>
            </w:r>
          </w:p>
        </w:tc>
        <w:tc>
          <w:tcPr>
            <w:tcW w:w="1785" w:type="dxa"/>
          </w:tcPr>
          <w:p>
            <w:pPr>
              <w:pStyle w:val="TableParagraph"/>
              <w:spacing w:before="93"/>
              <w:ind w:right="185"/>
              <w:rPr>
                <w:rFonts w:ascii="Calibri"/>
                <w:sz w:val="17"/>
              </w:rPr>
            </w:pPr>
            <w:r>
              <w:rPr>
                <w:b w:val="0"/>
                <w:sz w:val="16"/>
              </w:rPr>
              <w:t>3.5 </w:t>
            </w:r>
            <w:r>
              <w:rPr>
                <w:rFonts w:ascii="Calibri"/>
                <w:sz w:val="17"/>
              </w:rPr>
              <w:t>mm</w:t>
            </w:r>
            <w:r>
              <w:rPr>
                <w:rFonts w:ascii="Calibri"/>
                <w:spacing w:val="-1"/>
                <w:sz w:val="17"/>
              </w:rPr>
              <w:t> </w:t>
            </w:r>
            <w:r>
              <w:rPr>
                <w:rFonts w:ascii="Calibri"/>
                <w:spacing w:val="-2"/>
                <w:sz w:val="17"/>
              </w:rPr>
              <w:t>lumen</w:t>
            </w:r>
          </w:p>
        </w:tc>
        <w:tc>
          <w:tcPr>
            <w:tcW w:w="1830" w:type="dxa"/>
          </w:tcPr>
          <w:p>
            <w:pPr>
              <w:pStyle w:val="TableParagraph"/>
              <w:spacing w:before="93"/>
              <w:ind w:right="180"/>
              <w:rPr>
                <w:rFonts w:ascii="Calibri"/>
                <w:sz w:val="17"/>
              </w:rPr>
            </w:pPr>
            <w:r>
              <w:rPr>
                <w:b w:val="0"/>
                <w:sz w:val="16"/>
              </w:rPr>
              <w:t>4.0 </w:t>
            </w:r>
            <w:r>
              <w:rPr>
                <w:rFonts w:ascii="Calibri"/>
                <w:sz w:val="17"/>
              </w:rPr>
              <w:t>mm</w:t>
            </w:r>
            <w:r>
              <w:rPr>
                <w:rFonts w:ascii="Calibri"/>
                <w:spacing w:val="-1"/>
                <w:sz w:val="17"/>
              </w:rPr>
              <w:t> </w:t>
            </w:r>
            <w:r>
              <w:rPr>
                <w:rFonts w:ascii="Calibri"/>
                <w:spacing w:val="-2"/>
                <w:sz w:val="17"/>
              </w:rPr>
              <w:t>lumen</w:t>
            </w:r>
          </w:p>
        </w:tc>
      </w:tr>
      <w:tr>
        <w:trPr>
          <w:trHeight w:val="419" w:hRule="atLeast"/>
        </w:trPr>
        <w:tc>
          <w:tcPr>
            <w:tcW w:w="2070" w:type="dxa"/>
          </w:tcPr>
          <w:p>
            <w:pPr>
              <w:pStyle w:val="TableParagraph"/>
              <w:ind w:left="197"/>
              <w:jc w:val="left"/>
              <w:rPr>
                <w:rFonts w:ascii="Tahoma"/>
                <w:sz w:val="17"/>
              </w:rPr>
            </w:pPr>
            <w:r>
              <w:rPr>
                <w:b w:val="0"/>
                <w:spacing w:val="-4"/>
                <w:sz w:val="16"/>
              </w:rPr>
              <w:t>50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b w:val="0"/>
                <w:spacing w:val="-4"/>
                <w:sz w:val="16"/>
              </w:rPr>
              <w:t>2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</w:tcPr>
          <w:p>
            <w:pPr>
              <w:pStyle w:val="TableParagraph"/>
              <w:ind w:right="184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28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0.54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</w:tcPr>
          <w:p>
            <w:pPr>
              <w:pStyle w:val="TableParagraph"/>
              <w:ind w:right="180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16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0.32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34" w:hRule="atLeast"/>
        </w:trPr>
        <w:tc>
          <w:tcPr>
            <w:tcW w:w="2070" w:type="dxa"/>
            <w:shd w:val="clear" w:color="auto" w:fill="F5F7FA"/>
          </w:tcPr>
          <w:p>
            <w:pPr>
              <w:pStyle w:val="TableParagraph"/>
              <w:ind w:left="197"/>
              <w:jc w:val="left"/>
              <w:rPr>
                <w:rFonts w:ascii="Tahoma"/>
                <w:sz w:val="17"/>
              </w:rPr>
            </w:pPr>
            <w:r>
              <w:rPr>
                <w:b w:val="0"/>
                <w:spacing w:val="-4"/>
                <w:sz w:val="16"/>
              </w:rPr>
              <w:t>50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b w:val="0"/>
                <w:spacing w:val="-4"/>
                <w:sz w:val="16"/>
              </w:rPr>
              <w:t>5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  <w:shd w:val="clear" w:color="auto" w:fill="F5F7FA"/>
          </w:tcPr>
          <w:p>
            <w:pPr>
              <w:pStyle w:val="TableParagraph"/>
              <w:ind w:right="184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11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0.22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  <w:shd w:val="clear" w:color="auto" w:fill="F5F7FA"/>
          </w:tcPr>
          <w:p>
            <w:pPr>
              <w:pStyle w:val="TableParagraph"/>
              <w:ind w:right="180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6.6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 0.13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19" w:hRule="atLeast"/>
        </w:trPr>
        <w:tc>
          <w:tcPr>
            <w:tcW w:w="2070" w:type="dxa"/>
          </w:tcPr>
          <w:p>
            <w:pPr>
              <w:pStyle w:val="TableParagraph"/>
              <w:ind w:left="197"/>
              <w:jc w:val="left"/>
              <w:rPr>
                <w:rFonts w:ascii="Tahoma"/>
                <w:sz w:val="17"/>
              </w:rPr>
            </w:pPr>
            <w:r>
              <w:rPr>
                <w:b w:val="0"/>
                <w:spacing w:val="-4"/>
                <w:sz w:val="16"/>
              </w:rPr>
              <w:t>100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19"/>
                <w:sz w:val="17"/>
              </w:rPr>
              <w:t> </w:t>
            </w:r>
            <w:r>
              <w:rPr>
                <w:b w:val="0"/>
                <w:spacing w:val="-4"/>
                <w:sz w:val="16"/>
              </w:rPr>
              <w:t>2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</w:tcPr>
          <w:p>
            <w:pPr>
              <w:pStyle w:val="TableParagraph"/>
              <w:ind w:right="184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56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1.08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</w:tcPr>
          <w:p>
            <w:pPr>
              <w:pStyle w:val="TableParagraph"/>
              <w:ind w:right="180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33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0.64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34" w:hRule="atLeast"/>
        </w:trPr>
        <w:tc>
          <w:tcPr>
            <w:tcW w:w="2070" w:type="dxa"/>
            <w:shd w:val="clear" w:color="auto" w:fill="F5F7FA"/>
          </w:tcPr>
          <w:p>
            <w:pPr>
              <w:pStyle w:val="TableParagraph"/>
              <w:ind w:left="197"/>
              <w:jc w:val="left"/>
              <w:rPr>
                <w:rFonts w:ascii="Tahoma"/>
                <w:sz w:val="17"/>
              </w:rPr>
            </w:pPr>
            <w:r>
              <w:rPr>
                <w:b w:val="0"/>
                <w:spacing w:val="-4"/>
                <w:sz w:val="16"/>
              </w:rPr>
              <w:t>100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19"/>
                <w:sz w:val="17"/>
              </w:rPr>
              <w:t> </w:t>
            </w:r>
            <w:r>
              <w:rPr>
                <w:b w:val="0"/>
                <w:spacing w:val="-4"/>
                <w:sz w:val="16"/>
              </w:rPr>
              <w:t>5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  <w:shd w:val="clear" w:color="auto" w:fill="F5F7FA"/>
          </w:tcPr>
          <w:p>
            <w:pPr>
              <w:pStyle w:val="TableParagraph"/>
              <w:ind w:right="184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22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0.43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  <w:shd w:val="clear" w:color="auto" w:fill="F5F7FA"/>
          </w:tcPr>
          <w:p>
            <w:pPr>
              <w:pStyle w:val="TableParagraph"/>
              <w:ind w:right="180"/>
              <w:rPr>
                <w:rFonts w:ascii="Tahoma"/>
                <w:sz w:val="17"/>
              </w:rPr>
            </w:pPr>
            <w:r>
              <w:rPr>
                <w:rFonts w:ascii="Calibri"/>
                <w:spacing w:val="-2"/>
                <w:sz w:val="15"/>
              </w:rPr>
              <w:t>~</w:t>
            </w:r>
            <w:r>
              <w:rPr>
                <w:b w:val="0"/>
                <w:spacing w:val="-2"/>
                <w:sz w:val="16"/>
              </w:rPr>
              <w:t>13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b w:val="0"/>
                <w:spacing w:val="-2"/>
                <w:sz w:val="16"/>
              </w:rPr>
              <w:t>/</w:t>
            </w:r>
            <w:r>
              <w:rPr>
                <w:b w:val="0"/>
                <w:spacing w:val="-4"/>
                <w:sz w:val="16"/>
              </w:rPr>
              <w:t> </w:t>
            </w:r>
            <w:r>
              <w:rPr>
                <w:b w:val="0"/>
                <w:spacing w:val="-2"/>
                <w:sz w:val="16"/>
              </w:rPr>
              <w:t>0.25</w:t>
            </w:r>
            <w:r>
              <w:rPr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</w:tbl>
    <w:p>
      <w:pPr>
        <w:pStyle w:val="BodyText"/>
        <w:spacing w:line="278" w:lineRule="auto" w:before="191"/>
        <w:ind w:right="318"/>
        <w:rPr>
          <w:rFonts w:ascii="Arial" w:hAnsi="Arial"/>
          <w:sz w:val="21"/>
        </w:rPr>
      </w:pPr>
      <w:r>
        <w:rPr>
          <w:w w:val="90"/>
        </w:rPr>
        <w:t>So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7"/>
          <w:w w:val="90"/>
        </w:rPr>
        <w:t> </w:t>
      </w:r>
      <w:r>
        <w:rPr>
          <w:w w:val="90"/>
        </w:rPr>
        <w:t>contractions</w:t>
      </w:r>
      <w:r>
        <w:rPr>
          <w:spacing w:val="-7"/>
          <w:w w:val="90"/>
        </w:rPr>
        <w:t> </w:t>
      </w:r>
      <w:r>
        <w:rPr>
          <w:w w:val="90"/>
        </w:rPr>
        <w:t>are</w:t>
      </w:r>
      <w:r>
        <w:rPr>
          <w:spacing w:val="-7"/>
          <w:w w:val="90"/>
        </w:rPr>
        <w:t> </w:t>
      </w:r>
      <w:r>
        <w:rPr>
          <w:w w:val="90"/>
        </w:rPr>
        <w:t>plausibly</w:t>
      </w:r>
      <w:r>
        <w:rPr>
          <w:spacing w:val="-7"/>
          <w:w w:val="90"/>
        </w:rPr>
        <w:t> </w:t>
      </w:r>
      <w:r>
        <w:rPr>
          <w:w w:val="90"/>
        </w:rPr>
        <w:t>around</w:t>
      </w:r>
      <w:r>
        <w:rPr>
          <w:spacing w:val="-7"/>
          <w:w w:val="90"/>
        </w:rPr>
        <w:t> </w:t>
      </w:r>
      <w:r>
        <w:rPr>
          <w:rFonts w:ascii="Arial" w:hAnsi="Arial"/>
          <w:b/>
          <w:w w:val="90"/>
          <w:sz w:val="21"/>
        </w:rPr>
        <w:t>0.1–1.1 </w:t>
      </w:r>
      <w:r>
        <w:rPr>
          <w:b/>
          <w:w w:val="90"/>
        </w:rPr>
        <w:t>psi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depending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how</w:t>
      </w:r>
      <w:r>
        <w:rPr>
          <w:spacing w:val="-7"/>
          <w:w w:val="90"/>
        </w:rPr>
        <w:t> </w:t>
      </w:r>
      <w:r>
        <w:rPr>
          <w:w w:val="90"/>
        </w:rPr>
        <w:t>quickly</w:t>
      </w:r>
      <w:r>
        <w:rPr>
          <w:spacing w:val="-7"/>
          <w:w w:val="90"/>
        </w:rPr>
        <w:t> </w:t>
      </w:r>
      <w:r>
        <w:rPr>
          <w:w w:val="90"/>
        </w:rPr>
        <w:t>each </w:t>
      </w:r>
      <w:r>
        <w:rPr/>
        <w:t>pulse</w:t>
      </w:r>
      <w:r>
        <w:rPr>
          <w:spacing w:val="-14"/>
        </w:rPr>
        <w:t> </w:t>
      </w:r>
      <w:r>
        <w:rPr/>
        <w:t>exits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0"/>
        </w:rPr>
        <w:t>The</w:t>
      </w:r>
      <w:r>
        <w:rPr>
          <w:b/>
          <w:spacing w:val="-6"/>
        </w:rPr>
        <w:t> </w:t>
      </w:r>
      <w:r>
        <w:rPr>
          <w:b/>
          <w:w w:val="80"/>
        </w:rPr>
        <w:t>pressure</w:t>
      </w:r>
      <w:r>
        <w:rPr>
          <w:b/>
          <w:spacing w:val="-5"/>
        </w:rPr>
        <w:t> </w:t>
      </w:r>
      <w:r>
        <w:rPr>
          <w:b/>
          <w:spacing w:val="-2"/>
          <w:w w:val="80"/>
        </w:rPr>
        <w:t>conversion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spacing w:val="-9"/>
        </w:rPr>
        <w:t>For</w:t>
      </w:r>
      <w:r>
        <w:rPr>
          <w:spacing w:val="-19"/>
        </w:rPr>
        <w:t> </w:t>
      </w:r>
      <w:r>
        <w:rPr>
          <w:spacing w:val="-2"/>
        </w:rPr>
        <w:t>reference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spacing w:before="1"/>
        <w:ind w:left="449" w:right="0" w:firstLine="0"/>
        <w:jc w:val="left"/>
        <w:rPr>
          <w:sz w:val="23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spacing w:val="-8"/>
          <w:sz w:val="21"/>
        </w:rPr>
        <w:t>1 </w:t>
      </w:r>
      <w:r>
        <w:rPr>
          <w:spacing w:val="-8"/>
          <w:sz w:val="23"/>
        </w:rPr>
        <w:t>mmHg </w:t>
      </w:r>
      <w:r>
        <w:rPr>
          <w:rFonts w:ascii="Arial"/>
          <w:spacing w:val="-8"/>
          <w:sz w:val="21"/>
        </w:rPr>
        <w:t>= 0.0193368 </w:t>
      </w:r>
      <w:r>
        <w:rPr>
          <w:spacing w:val="-8"/>
          <w:sz w:val="23"/>
        </w:rPr>
        <w:t>psi</w:t>
      </w:r>
    </w:p>
    <w:p>
      <w:pPr>
        <w:spacing w:before="149"/>
        <w:ind w:left="449" w:right="0" w:firstLine="0"/>
        <w:jc w:val="left"/>
        <w:rPr>
          <w:sz w:val="23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Arial"/>
          <w:spacing w:val="-8"/>
          <w:sz w:val="21"/>
        </w:rPr>
        <w:t>1 </w:t>
      </w:r>
      <w:r>
        <w:rPr>
          <w:spacing w:val="-8"/>
          <w:sz w:val="23"/>
        </w:rPr>
        <w:t>cmH</w:t>
      </w:r>
      <w:r>
        <w:rPr>
          <w:rFonts w:ascii="Arial"/>
          <w:spacing w:val="-8"/>
          <w:sz w:val="21"/>
        </w:rPr>
        <w:t>2</w:t>
      </w:r>
      <w:r>
        <w:rPr>
          <w:spacing w:val="-8"/>
          <w:sz w:val="23"/>
        </w:rPr>
        <w:t>O </w:t>
      </w:r>
      <w:r>
        <w:rPr>
          <w:rFonts w:ascii="Arial"/>
          <w:spacing w:val="-8"/>
          <w:sz w:val="21"/>
        </w:rPr>
        <w:t>= 0.0142234 </w:t>
      </w:r>
      <w:r>
        <w:rPr>
          <w:spacing w:val="-8"/>
          <w:sz w:val="23"/>
        </w:rPr>
        <w:t>psi</w:t>
      </w:r>
    </w:p>
    <w:p>
      <w:pPr>
        <w:spacing w:before="149"/>
        <w:ind w:left="449" w:right="0" w:firstLine="0"/>
        <w:jc w:val="left"/>
        <w:rPr>
          <w:sz w:val="23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Arial"/>
          <w:spacing w:val="-8"/>
          <w:sz w:val="21"/>
        </w:rPr>
        <w:t>1 </w:t>
      </w:r>
      <w:r>
        <w:rPr>
          <w:spacing w:val="-8"/>
          <w:sz w:val="23"/>
        </w:rPr>
        <w:t>psi </w:t>
      </w:r>
      <w:r>
        <w:rPr>
          <w:rFonts w:ascii="Arial"/>
          <w:spacing w:val="-8"/>
          <w:sz w:val="21"/>
        </w:rPr>
        <w:t>= 51.7149 </w:t>
      </w:r>
      <w:r>
        <w:rPr>
          <w:spacing w:val="-8"/>
          <w:sz w:val="23"/>
        </w:rPr>
        <w:t>mmHg</w:t>
      </w:r>
    </w:p>
    <w:p>
      <w:pPr>
        <w:pStyle w:val="BodyText"/>
        <w:spacing w:before="149"/>
        <w:rPr>
          <w:rFonts w:ascii="Arial"/>
          <w:sz w:val="21"/>
        </w:rPr>
      </w:pPr>
      <w:r>
        <w:rPr>
          <w:w w:val="90"/>
        </w:rPr>
        <w:t>So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earlier</w:t>
      </w:r>
      <w:r>
        <w:rPr>
          <w:spacing w:val="-12"/>
          <w:w w:val="90"/>
        </w:rPr>
        <w:t> </w:t>
      </w:r>
      <w:r>
        <w:rPr>
          <w:w w:val="90"/>
        </w:rPr>
        <w:t>estimates</w:t>
      </w:r>
      <w:r>
        <w:rPr>
          <w:spacing w:val="-11"/>
          <w:w w:val="90"/>
        </w:rPr>
        <w:t> </w:t>
      </w:r>
      <w:r>
        <w:rPr>
          <w:w w:val="90"/>
        </w:rPr>
        <w:t>convert</w:t>
      </w:r>
      <w:r>
        <w:rPr>
          <w:spacing w:val="-12"/>
          <w:w w:val="90"/>
        </w:rPr>
        <w:t> </w:t>
      </w:r>
      <w:r>
        <w:rPr>
          <w:w w:val="90"/>
        </w:rPr>
        <w:t>like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this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21"/>
        <w:ind w:left="0"/>
        <w:rPr>
          <w:rFonts w:ascii="Arial"/>
          <w:sz w:val="20"/>
        </w:rPr>
      </w:pPr>
    </w:p>
    <w:tbl>
      <w:tblPr>
        <w:tblW w:w="0" w:type="auto"/>
        <w:jc w:val="left"/>
        <w:tblInd w:w="266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0"/>
        <w:gridCol w:w="870"/>
        <w:gridCol w:w="1215"/>
      </w:tblGrid>
      <w:tr>
        <w:trPr>
          <w:trHeight w:val="434" w:hRule="atLeast"/>
        </w:trPr>
        <w:tc>
          <w:tcPr>
            <w:tcW w:w="2670" w:type="dxa"/>
          </w:tcPr>
          <w:p>
            <w:pPr>
              <w:pStyle w:val="TableParagraph"/>
              <w:spacing w:before="93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2"/>
                <w:sz w:val="17"/>
              </w:rPr>
              <w:t>Pressure</w:t>
            </w:r>
          </w:p>
        </w:tc>
        <w:tc>
          <w:tcPr>
            <w:tcW w:w="870" w:type="dxa"/>
          </w:tcPr>
          <w:p>
            <w:pPr>
              <w:pStyle w:val="TableParagraph"/>
              <w:spacing w:before="93"/>
              <w:ind w:right="187"/>
              <w:rPr>
                <w:rFonts w:ascii="Calibri"/>
                <w:sz w:val="17"/>
              </w:rPr>
            </w:pPr>
            <w:r>
              <w:rPr>
                <w:rFonts w:ascii="Calibri"/>
                <w:spacing w:val="-4"/>
                <w:sz w:val="17"/>
              </w:rPr>
              <w:t>mmHg</w:t>
            </w:r>
          </w:p>
        </w:tc>
        <w:tc>
          <w:tcPr>
            <w:tcW w:w="1215" w:type="dxa"/>
          </w:tcPr>
          <w:p>
            <w:pPr>
              <w:pStyle w:val="TableParagraph"/>
              <w:spacing w:before="93"/>
              <w:ind w:right="181"/>
              <w:rPr>
                <w:rFonts w:ascii="Calibri"/>
                <w:sz w:val="17"/>
              </w:rPr>
            </w:pPr>
            <w:r>
              <w:rPr>
                <w:rFonts w:ascii="Calibri"/>
                <w:spacing w:val="-5"/>
                <w:w w:val="105"/>
                <w:sz w:val="17"/>
              </w:rPr>
              <w:t>psi</w:t>
            </w:r>
          </w:p>
        </w:tc>
      </w:tr>
      <w:tr>
        <w:trPr>
          <w:trHeight w:val="419" w:hRule="atLeast"/>
        </w:trPr>
        <w:tc>
          <w:tcPr>
            <w:tcW w:w="2670" w:type="dxa"/>
          </w:tcPr>
          <w:p>
            <w:pPr>
              <w:pStyle w:val="TableParagraph"/>
              <w:ind w:left="196"/>
              <w:jc w:val="left"/>
              <w:rPr>
                <w:rFonts w:ascii="Tahoma"/>
                <w:sz w:val="17"/>
              </w:rPr>
            </w:pPr>
            <w:r>
              <w:rPr>
                <w:rFonts w:ascii="Tahoma"/>
                <w:w w:val="90"/>
                <w:sz w:val="17"/>
              </w:rPr>
              <w:t>Normal</w:t>
            </w:r>
            <w:r>
              <w:rPr>
                <w:rFonts w:ascii="Tahoma"/>
                <w:spacing w:val="-2"/>
                <w:sz w:val="17"/>
              </w:rPr>
              <w:t> </w:t>
            </w:r>
            <w:r>
              <w:rPr>
                <w:rFonts w:ascii="Tahoma"/>
                <w:w w:val="90"/>
                <w:sz w:val="17"/>
              </w:rPr>
              <w:t>resting</w:t>
            </w:r>
            <w:r>
              <w:rPr>
                <w:rFonts w:ascii="Tahoma"/>
                <w:spacing w:val="-1"/>
                <w:sz w:val="17"/>
              </w:rPr>
              <w:t> </w:t>
            </w:r>
            <w:r>
              <w:rPr>
                <w:rFonts w:ascii="Tahoma"/>
                <w:spacing w:val="-2"/>
                <w:w w:val="90"/>
                <w:sz w:val="17"/>
              </w:rPr>
              <w:t>bladder</w:t>
            </w:r>
          </w:p>
        </w:tc>
        <w:tc>
          <w:tcPr>
            <w:tcW w:w="870" w:type="dxa"/>
          </w:tcPr>
          <w:p>
            <w:pPr>
              <w:pStyle w:val="TableParagraph"/>
              <w:spacing w:before="102"/>
              <w:ind w:right="187"/>
              <w:rPr>
                <w:b w:val="0"/>
                <w:sz w:val="16"/>
              </w:rPr>
            </w:pPr>
            <w:r>
              <w:rPr>
                <w:b w:val="0"/>
                <w:spacing w:val="-4"/>
                <w:sz w:val="16"/>
              </w:rPr>
              <w:t>4–11</w:t>
            </w:r>
          </w:p>
        </w:tc>
        <w:tc>
          <w:tcPr>
            <w:tcW w:w="1215" w:type="dxa"/>
          </w:tcPr>
          <w:p>
            <w:pPr>
              <w:pStyle w:val="TableParagraph"/>
              <w:spacing w:before="102"/>
              <w:ind w:right="179"/>
              <w:rPr>
                <w:b w:val="0"/>
                <w:sz w:val="16"/>
              </w:rPr>
            </w:pPr>
            <w:r>
              <w:rPr>
                <w:b w:val="0"/>
                <w:spacing w:val="-2"/>
                <w:sz w:val="16"/>
              </w:rPr>
              <w:t>0.077–0.213</w:t>
            </w:r>
          </w:p>
        </w:tc>
      </w:tr>
      <w:tr>
        <w:trPr>
          <w:trHeight w:val="434" w:hRule="atLeast"/>
        </w:trPr>
        <w:tc>
          <w:tcPr>
            <w:tcW w:w="2670" w:type="dxa"/>
            <w:shd w:val="clear" w:color="auto" w:fill="F5F7FA"/>
          </w:tcPr>
          <w:p>
            <w:pPr>
              <w:pStyle w:val="TableParagraph"/>
              <w:ind w:left="196"/>
              <w:jc w:val="left"/>
              <w:rPr>
                <w:rFonts w:ascii="Tahoma"/>
                <w:sz w:val="17"/>
              </w:rPr>
            </w:pPr>
            <w:r>
              <w:rPr>
                <w:rFonts w:ascii="Tahoma"/>
                <w:w w:val="90"/>
                <w:sz w:val="17"/>
              </w:rPr>
              <w:t>Moderate</w:t>
            </w:r>
            <w:r>
              <w:rPr>
                <w:rFonts w:ascii="Tahoma"/>
                <w:spacing w:val="1"/>
                <w:sz w:val="17"/>
              </w:rPr>
              <w:t> </w:t>
            </w:r>
            <w:r>
              <w:rPr>
                <w:rFonts w:ascii="Tahoma"/>
                <w:w w:val="90"/>
                <w:sz w:val="17"/>
              </w:rPr>
              <w:t>high</w:t>
            </w:r>
            <w:r>
              <w:rPr>
                <w:b w:val="0"/>
                <w:w w:val="90"/>
                <w:sz w:val="16"/>
              </w:rPr>
              <w:t>-</w:t>
            </w:r>
            <w:r>
              <w:rPr>
                <w:rFonts w:ascii="Tahoma"/>
                <w:w w:val="90"/>
                <w:sz w:val="17"/>
              </w:rPr>
              <w:t>pressure</w:t>
            </w:r>
            <w:r>
              <w:rPr>
                <w:rFonts w:ascii="Tahoma"/>
                <w:spacing w:val="2"/>
                <w:sz w:val="17"/>
              </w:rPr>
              <w:t> </w:t>
            </w:r>
            <w:r>
              <w:rPr>
                <w:rFonts w:ascii="Tahoma"/>
                <w:spacing w:val="-2"/>
                <w:w w:val="90"/>
                <w:sz w:val="17"/>
              </w:rPr>
              <w:t>estimate</w:t>
            </w:r>
          </w:p>
        </w:tc>
        <w:tc>
          <w:tcPr>
            <w:tcW w:w="870" w:type="dxa"/>
            <w:shd w:val="clear" w:color="auto" w:fill="F5F7FA"/>
          </w:tcPr>
          <w:p>
            <w:pPr>
              <w:pStyle w:val="TableParagraph"/>
              <w:spacing w:before="102"/>
              <w:ind w:right="187"/>
              <w:rPr>
                <w:b w:val="0"/>
                <w:sz w:val="16"/>
              </w:rPr>
            </w:pPr>
            <w:r>
              <w:rPr>
                <w:b w:val="0"/>
                <w:spacing w:val="-5"/>
                <w:sz w:val="16"/>
              </w:rPr>
              <w:t>50</w:t>
            </w:r>
          </w:p>
        </w:tc>
        <w:tc>
          <w:tcPr>
            <w:tcW w:w="1215" w:type="dxa"/>
            <w:shd w:val="clear" w:color="auto" w:fill="F5F7FA"/>
          </w:tcPr>
          <w:p>
            <w:pPr>
              <w:pStyle w:val="TableParagraph"/>
              <w:spacing w:before="102"/>
              <w:ind w:right="179"/>
              <w:rPr>
                <w:b w:val="0"/>
                <w:sz w:val="16"/>
              </w:rPr>
            </w:pPr>
            <w:r>
              <w:rPr>
                <w:b w:val="0"/>
                <w:spacing w:val="-2"/>
                <w:sz w:val="16"/>
              </w:rPr>
              <w:t>0.967</w:t>
            </w:r>
          </w:p>
        </w:tc>
      </w:tr>
      <w:tr>
        <w:trPr>
          <w:trHeight w:val="419" w:hRule="atLeast"/>
        </w:trPr>
        <w:tc>
          <w:tcPr>
            <w:tcW w:w="2670" w:type="dxa"/>
          </w:tcPr>
          <w:p>
            <w:pPr>
              <w:pStyle w:val="TableParagraph"/>
              <w:ind w:left="196"/>
              <w:jc w:val="left"/>
              <w:rPr>
                <w:rFonts w:ascii="Tahoma"/>
                <w:sz w:val="17"/>
              </w:rPr>
            </w:pPr>
            <w:r>
              <w:rPr>
                <w:rFonts w:ascii="Tahoma"/>
                <w:w w:val="90"/>
                <w:sz w:val="17"/>
              </w:rPr>
              <w:t>Strong</w:t>
            </w:r>
            <w:r>
              <w:rPr>
                <w:rFonts w:ascii="Tahoma"/>
                <w:sz w:val="17"/>
              </w:rPr>
              <w:t> </w:t>
            </w:r>
            <w:r>
              <w:rPr>
                <w:rFonts w:ascii="Tahoma"/>
                <w:w w:val="90"/>
                <w:sz w:val="17"/>
              </w:rPr>
              <w:t>high</w:t>
            </w:r>
            <w:r>
              <w:rPr>
                <w:b w:val="0"/>
                <w:w w:val="90"/>
                <w:sz w:val="16"/>
              </w:rPr>
              <w:t>-</w:t>
            </w:r>
            <w:r>
              <w:rPr>
                <w:rFonts w:ascii="Tahoma"/>
                <w:w w:val="90"/>
                <w:sz w:val="17"/>
              </w:rPr>
              <w:t>pressure</w:t>
            </w:r>
            <w:r>
              <w:rPr>
                <w:rFonts w:ascii="Tahoma"/>
                <w:sz w:val="17"/>
              </w:rPr>
              <w:t> </w:t>
            </w:r>
            <w:r>
              <w:rPr>
                <w:rFonts w:ascii="Tahoma"/>
                <w:spacing w:val="-2"/>
                <w:w w:val="90"/>
                <w:sz w:val="17"/>
              </w:rPr>
              <w:t>estimate</w:t>
            </w:r>
          </w:p>
        </w:tc>
        <w:tc>
          <w:tcPr>
            <w:tcW w:w="870" w:type="dxa"/>
          </w:tcPr>
          <w:p>
            <w:pPr>
              <w:pStyle w:val="TableParagraph"/>
              <w:spacing w:before="102"/>
              <w:ind w:right="187"/>
              <w:rPr>
                <w:b w:val="0"/>
                <w:sz w:val="16"/>
              </w:rPr>
            </w:pPr>
            <w:r>
              <w:rPr>
                <w:b w:val="0"/>
                <w:spacing w:val="-5"/>
                <w:sz w:val="16"/>
              </w:rPr>
              <w:t>90</w:t>
            </w:r>
          </w:p>
        </w:tc>
        <w:tc>
          <w:tcPr>
            <w:tcW w:w="1215" w:type="dxa"/>
          </w:tcPr>
          <w:p>
            <w:pPr>
              <w:pStyle w:val="TableParagraph"/>
              <w:spacing w:before="102"/>
              <w:ind w:right="179"/>
              <w:rPr>
                <w:b w:val="0"/>
                <w:sz w:val="16"/>
              </w:rPr>
            </w:pPr>
            <w:r>
              <w:rPr>
                <w:b w:val="0"/>
                <w:spacing w:val="-2"/>
                <w:sz w:val="16"/>
              </w:rPr>
              <w:t>1.740</w:t>
            </w:r>
          </w:p>
        </w:tc>
      </w:tr>
      <w:tr>
        <w:trPr>
          <w:trHeight w:val="434" w:hRule="atLeast"/>
        </w:trPr>
        <w:tc>
          <w:tcPr>
            <w:tcW w:w="2670" w:type="dxa"/>
            <w:shd w:val="clear" w:color="auto" w:fill="F5F7FA"/>
          </w:tcPr>
          <w:p>
            <w:pPr>
              <w:pStyle w:val="TableParagraph"/>
              <w:ind w:left="196"/>
              <w:jc w:val="left"/>
              <w:rPr>
                <w:rFonts w:ascii="Tahoma"/>
                <w:sz w:val="17"/>
              </w:rPr>
            </w:pPr>
            <w:r>
              <w:rPr>
                <w:b w:val="0"/>
                <w:sz w:val="16"/>
              </w:rPr>
              <w:t>100</w:t>
            </w:r>
            <w:r>
              <w:rPr>
                <w:b w:val="0"/>
                <w:spacing w:val="-2"/>
                <w:sz w:val="16"/>
              </w:rPr>
              <w:t> </w:t>
            </w:r>
            <w:r>
              <w:rPr>
                <w:rFonts w:ascii="Tahoma"/>
                <w:spacing w:val="-4"/>
                <w:sz w:val="17"/>
              </w:rPr>
              <w:t>mmHg</w:t>
            </w:r>
          </w:p>
        </w:tc>
        <w:tc>
          <w:tcPr>
            <w:tcW w:w="870" w:type="dxa"/>
            <w:shd w:val="clear" w:color="auto" w:fill="F5F7FA"/>
          </w:tcPr>
          <w:p>
            <w:pPr>
              <w:pStyle w:val="TableParagraph"/>
              <w:spacing w:before="102"/>
              <w:ind w:right="187"/>
              <w:rPr>
                <w:b w:val="0"/>
                <w:sz w:val="16"/>
              </w:rPr>
            </w:pPr>
            <w:r>
              <w:rPr>
                <w:b w:val="0"/>
                <w:spacing w:val="-5"/>
                <w:sz w:val="16"/>
              </w:rPr>
              <w:t>100</w:t>
            </w:r>
          </w:p>
        </w:tc>
        <w:tc>
          <w:tcPr>
            <w:tcW w:w="1215" w:type="dxa"/>
            <w:shd w:val="clear" w:color="auto" w:fill="F5F7FA"/>
          </w:tcPr>
          <w:p>
            <w:pPr>
              <w:pStyle w:val="TableParagraph"/>
              <w:spacing w:before="102"/>
              <w:ind w:right="179"/>
              <w:rPr>
                <w:b w:val="0"/>
                <w:sz w:val="16"/>
              </w:rPr>
            </w:pPr>
            <w:r>
              <w:rPr>
                <w:b w:val="0"/>
                <w:spacing w:val="-2"/>
                <w:sz w:val="16"/>
              </w:rPr>
              <w:t>1.934</w:t>
            </w:r>
          </w:p>
        </w:tc>
      </w:tr>
    </w:tbl>
    <w:p>
      <w:pPr>
        <w:pStyle w:val="BodyText"/>
        <w:spacing w:before="65"/>
        <w:ind w:left="0"/>
        <w:rPr>
          <w:rFonts w:ascii="Arial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matters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clinically</w:t>
      </w:r>
    </w:p>
    <w:p>
      <w:pPr>
        <w:pStyle w:val="BodyText"/>
        <w:spacing w:line="278" w:lineRule="auto" w:before="190"/>
        <w:ind w:right="410"/>
        <w:rPr>
          <w:rFonts w:ascii="Arial" w:hAnsi="Arial"/>
          <w:sz w:val="21"/>
        </w:rPr>
      </w:pPr>
      <w:r>
        <w:rPr>
          <w:w w:val="90"/>
        </w:rPr>
        <w:t>A bladder that maintains pressure until nearly empty and then contracts in pulses is doing active work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merely draining passively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pattern is more consistent with detrusor activity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possibly</w:t>
      </w:r>
      <w:r>
        <w:rPr>
          <w:spacing w:val="-1"/>
          <w:w w:val="90"/>
        </w:rPr>
        <w:t> </w:t>
      </w:r>
      <w:r>
        <w:rPr>
          <w:w w:val="90"/>
        </w:rPr>
        <w:t>detrusor</w:t>
      </w:r>
      <w:r>
        <w:rPr>
          <w:spacing w:val="-1"/>
          <w:w w:val="90"/>
        </w:rPr>
        <w:t> </w:t>
      </w:r>
      <w:r>
        <w:rPr>
          <w:w w:val="90"/>
        </w:rPr>
        <w:t>overactivity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impaired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w w:val="90"/>
        </w:rPr>
        <w:t>compliance</w:t>
      </w:r>
      <w:r>
        <w:rPr>
          <w:spacing w:val="-1"/>
          <w:w w:val="90"/>
        </w:rPr>
        <w:t> </w:t>
      </w:r>
      <w:r>
        <w:rPr>
          <w:w w:val="90"/>
        </w:rPr>
        <w:t>than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simple </w:t>
      </w:r>
      <w:r>
        <w:rPr>
          <w:rFonts w:ascii="Arial" w:hAnsi="Arial"/>
          <w:spacing w:val="-4"/>
          <w:sz w:val="21"/>
        </w:rPr>
        <w:t>“</w:t>
      </w:r>
      <w:r>
        <w:rPr>
          <w:spacing w:val="-4"/>
        </w:rPr>
        <w:t>large</w:t>
      </w:r>
      <w:r>
        <w:rPr>
          <w:rFonts w:ascii="Arial" w:hAnsi="Arial"/>
          <w:spacing w:val="-4"/>
          <w:sz w:val="21"/>
        </w:rPr>
        <w:t>-</w:t>
      </w:r>
      <w:r>
        <w:rPr>
          <w:spacing w:val="-4"/>
        </w:rPr>
        <w:t>volume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0"/>
          <w:sz w:val="21"/>
        </w:rPr>
        <w:t> </w:t>
      </w:r>
      <w:r>
        <w:rPr>
          <w:spacing w:val="-4"/>
        </w:rPr>
        <w:t>low</w:t>
      </w:r>
      <w:r>
        <w:rPr>
          <w:rFonts w:ascii="Arial" w:hAnsi="Arial"/>
          <w:spacing w:val="-4"/>
          <w:sz w:val="21"/>
        </w:rPr>
        <w:t>-</w:t>
      </w:r>
      <w:r>
        <w:rPr>
          <w:spacing w:val="-4"/>
        </w:rPr>
        <w:t>pressure</w:t>
      </w:r>
      <w:r>
        <w:rPr>
          <w:rFonts w:ascii="Arial" w:hAnsi="Arial"/>
          <w:spacing w:val="-4"/>
          <w:sz w:val="21"/>
        </w:rPr>
        <w:t>”</w:t>
      </w:r>
      <w:r>
        <w:rPr>
          <w:rFonts w:ascii="Arial" w:hAnsi="Arial"/>
          <w:spacing w:val="-10"/>
          <w:sz w:val="21"/>
        </w:rPr>
        <w:t> </w:t>
      </w:r>
      <w:r>
        <w:rPr>
          <w:spacing w:val="-4"/>
        </w:rPr>
        <w:t>bladder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/>
        <w:ind w:right="318"/>
        <w:rPr>
          <w:rFonts w:ascii="Arial" w:hAnsi="Arial"/>
          <w:sz w:val="21"/>
        </w:rPr>
      </w:pP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also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history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abdominal</w:t>
      </w:r>
      <w:r>
        <w:rPr>
          <w:spacing w:val="-5"/>
          <w:w w:val="90"/>
        </w:rPr>
        <w:t> </w:t>
      </w:r>
      <w:r>
        <w:rPr>
          <w:w w:val="90"/>
        </w:rPr>
        <w:t>pressure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5"/>
          <w:w w:val="90"/>
        </w:rPr>
        <w:t> </w:t>
      </w:r>
      <w:r>
        <w:rPr>
          <w:w w:val="90"/>
        </w:rPr>
        <w:t>start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pulsatile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nish suggests the bladder muscle is also contracting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distinction matters for treatment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generates</w:t>
      </w:r>
      <w:r>
        <w:rPr>
          <w:spacing w:val="-2"/>
          <w:w w:val="90"/>
        </w:rPr>
        <w:t> </w:t>
      </w:r>
      <w:r>
        <w:rPr>
          <w:w w:val="90"/>
        </w:rPr>
        <w:t>high</w:t>
      </w:r>
      <w:r>
        <w:rPr>
          <w:spacing w:val="-2"/>
          <w:w w:val="90"/>
        </w:rPr>
        <w:t> </w:t>
      </w:r>
      <w:r>
        <w:rPr>
          <w:w w:val="90"/>
        </w:rPr>
        <w:t>pressure</w:t>
      </w:r>
      <w:r>
        <w:rPr>
          <w:spacing w:val="-2"/>
          <w:w w:val="90"/>
        </w:rPr>
        <w:t> </w:t>
      </w:r>
      <w:r>
        <w:rPr>
          <w:w w:val="90"/>
        </w:rPr>
        <w:t>needs</w:t>
      </w:r>
      <w:r>
        <w:rPr>
          <w:spacing w:val="-2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2"/>
          <w:w w:val="90"/>
        </w:rPr>
        <w:t> </w:t>
      </w:r>
      <w:r>
        <w:rPr>
          <w:w w:val="90"/>
        </w:rPr>
        <w:t>management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2"/>
          <w:w w:val="90"/>
        </w:rPr>
        <w:t> </w:t>
      </w:r>
      <w:r>
        <w:rPr>
          <w:w w:val="90"/>
        </w:rPr>
        <w:t>one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is </w:t>
      </w:r>
      <w:r>
        <w:rPr/>
        <w:t>simply</w:t>
      </w:r>
      <w:r>
        <w:rPr>
          <w:spacing w:val="-23"/>
        </w:rPr>
        <w:t> </w:t>
      </w:r>
      <w:r>
        <w:rPr/>
        <w:t>large</w:t>
      </w:r>
      <w:r>
        <w:rPr>
          <w:spacing w:val="-23"/>
        </w:rPr>
        <w:t> </w:t>
      </w:r>
      <w:r>
        <w:rPr/>
        <w:t>and</w:t>
      </w:r>
      <w:r>
        <w:rPr>
          <w:spacing w:val="-23"/>
        </w:rPr>
        <w:t> </w:t>
      </w:r>
      <w:r>
        <w:rPr>
          <w:rFonts w:ascii="Arial" w:hAnsi="Arial"/>
          <w:sz w:val="21"/>
        </w:rPr>
        <w:t>ﬂ</w:t>
      </w:r>
      <w:r>
        <w:rPr/>
        <w:t>oppy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/>
        <w:ind w:right="318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catheter</w:t>
      </w:r>
      <w:r>
        <w:rPr>
          <w:spacing w:val="-13"/>
          <w:w w:val="90"/>
        </w:rPr>
        <w:t> </w:t>
      </w:r>
      <w:r>
        <w:rPr>
          <w:w w:val="90"/>
        </w:rPr>
        <w:t>catching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bleeding</w:t>
      </w:r>
      <w:r>
        <w:rPr>
          <w:spacing w:val="-13"/>
          <w:w w:val="90"/>
        </w:rPr>
        <w:t> </w:t>
      </w:r>
      <w:r>
        <w:rPr>
          <w:w w:val="90"/>
        </w:rPr>
        <w:t>still</w:t>
      </w:r>
      <w:r>
        <w:rPr>
          <w:spacing w:val="-13"/>
          <w:w w:val="90"/>
        </w:rPr>
        <w:t> </w:t>
      </w:r>
      <w:r>
        <w:rPr>
          <w:w w:val="90"/>
        </w:rPr>
        <w:t>needs</w:t>
      </w:r>
      <w:r>
        <w:rPr>
          <w:spacing w:val="-13"/>
          <w:w w:val="90"/>
        </w:rPr>
        <w:t> </w:t>
      </w:r>
      <w:r>
        <w:rPr>
          <w:w w:val="90"/>
        </w:rPr>
        <w:t>urethral</w:t>
      </w:r>
      <w:r>
        <w:rPr>
          <w:spacing w:val="-13"/>
          <w:w w:val="90"/>
        </w:rPr>
        <w:t> </w:t>
      </w:r>
      <w:r>
        <w:rPr>
          <w:w w:val="90"/>
        </w:rPr>
        <w:t>assessment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enlarging</w:t>
      </w:r>
      <w:r>
        <w:rPr>
          <w:spacing w:val="-13"/>
          <w:w w:val="90"/>
        </w:rPr>
        <w:t> </w:t>
      </w:r>
      <w:r>
        <w:rPr>
          <w:w w:val="90"/>
        </w:rPr>
        <w:t>right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sided lump still needs scrotal ultrasound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Neither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 is explained by high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intake</w:t>
      </w:r>
      <w:r>
        <w:rPr>
          <w:rFonts w:ascii="Arial" w:hAnsi="Arial"/>
          <w:w w:val="90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ov/8711868/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https://abdominalkey.com/bladder-disorder-of-function/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4"/>
            <w:sz w:val="19"/>
            <w:u w:val="single"/>
          </w:rPr>
          <w:t>https://www.amjmedsci.org/article/S0002-9629(15)41264-9/fulltext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https://toolstudio.io/pressure-converter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5"/>
            <w:sz w:val="19"/>
            <w:u w:val="single"/>
          </w:rPr>
          <w:t>https://en.conv-</w:t>
        </w:r>
        <w:r>
          <w:rPr>
            <w:spacing w:val="-2"/>
            <w:sz w:val="19"/>
            <w:u w:val="single"/>
          </w:rPr>
          <w:t>tool.com/unit/pressure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https://pressureconverter.intemodino.com/conversion/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4"/>
            <w:sz w:val="19"/>
            <w:u w:val="single"/>
          </w:rPr>
          <w:t>https://www.sensorsone.com/wp-content/uploads/2013/09/psi-Barometric-Conversion-Table.pdf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ov/9393294/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https://www.ein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.org/m/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ournal/view.php?number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858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4"/>
            <w:sz w:val="19"/>
            <w:u w:val="single"/>
          </w:rPr>
          <w:t>https://discovery.ucl.ac.uk/1508572/7/Tudor_Neurogenic</w:t>
        </w:r>
        <w:r>
          <w:rPr>
            <w:spacing w:val="25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lower</w:t>
        </w:r>
        <w:r>
          <w:rPr>
            <w:spacing w:val="26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urinary</w:t>
        </w:r>
        <w:r>
          <w:rPr>
            <w:spacing w:val="25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tract</w:t>
        </w:r>
        <w:r>
          <w:rPr>
            <w:spacing w:val="26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dysfunction.pdf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https://researchers.mq.edu.au/en/publications/diagnosing-detrusor-sphincter-dyssynergia-in-the-neurological-</w:t>
        </w:r>
        <w:r>
          <w:rPr>
            <w:spacing w:val="-5"/>
            <w:sz w:val="19"/>
            <w:u w:val="single"/>
          </w:rPr>
          <w:t>pat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33" w:hanging="297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https://www.hollister.ie/en-ie/continencecare/continencelearningcenter/supportingbladderhealth/understandingneur</w:t>
        </w:r>
      </w:hyperlink>
      <w:r>
        <w:rPr>
          <w:spacing w:val="-2"/>
          <w:sz w:val="19"/>
          <w:u w:val="none"/>
        </w:rPr>
        <w:t> </w:t>
      </w:r>
      <w:hyperlink r:id="rId18">
        <w:r>
          <w:rPr>
            <w:spacing w:val="-2"/>
            <w:sz w:val="19"/>
            <w:u w:val="single"/>
          </w:rPr>
          <w:t>ogenicbladderdisorder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2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4"/>
            <w:sz w:val="19"/>
            <w:u w:val="single"/>
          </w:rPr>
          <w:t>https://fr.scribd.com/document/320898915/boost-psi-</w:t>
        </w:r>
        <w:r>
          <w:rPr>
            <w:spacing w:val="-5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44" w:hanging="297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https://www.semanticscholar.org/paper/Contemporary-Treatment-of-Detrusor-Sphincter-a-Li-Nahm/54e44cad615053</w:t>
        </w:r>
      </w:hyperlink>
      <w:r>
        <w:rPr>
          <w:spacing w:val="-2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cef2ded7af9d9f60f091f73834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4"/>
            <w:sz w:val="19"/>
            <w:u w:val="single"/>
          </w:rPr>
          <w:t>https://fr.scribd.com/document/226332699/Pressure-Converting-Tables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13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3"/>
      <w:ind w:left="314" w:right="318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85"/>
      <w:jc w:val="right"/>
    </w:pPr>
    <w:rPr>
      <w:rFonts w:ascii="Calibri Light" w:hAnsi="Calibri Light" w:eastAsia="Calibri Light" w:cs="Calibri Ligh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pubmed.ncbi.nlm.nih.gov/8711868/" TargetMode="External"/><Relationship Id="rId8" Type="http://schemas.openxmlformats.org/officeDocument/2006/relationships/hyperlink" Target="https://abdominalkey.com/bladder-disorder-of-function/" TargetMode="External"/><Relationship Id="rId9" Type="http://schemas.openxmlformats.org/officeDocument/2006/relationships/hyperlink" Target="https://www.amjmedsci.org/article/S0002-9629(15)41264-9/fulltext" TargetMode="External"/><Relationship Id="rId10" Type="http://schemas.openxmlformats.org/officeDocument/2006/relationships/hyperlink" Target="https://toolstudio.io/pressure-converter" TargetMode="External"/><Relationship Id="rId11" Type="http://schemas.openxmlformats.org/officeDocument/2006/relationships/hyperlink" Target="https://en.conv-tool.com/unit/pressure" TargetMode="External"/><Relationship Id="rId12" Type="http://schemas.openxmlformats.org/officeDocument/2006/relationships/hyperlink" Target="https://pressureconverter.intemodino.com/conversion/" TargetMode="External"/><Relationship Id="rId13" Type="http://schemas.openxmlformats.org/officeDocument/2006/relationships/hyperlink" Target="https://www.sensorsone.com/wp-content/uploads/2013/09/psi-Barometric-Conversion-Table.pdf" TargetMode="External"/><Relationship Id="rId14" Type="http://schemas.openxmlformats.org/officeDocument/2006/relationships/hyperlink" Target="https://pubmed.ncbi.nlm.nih.gov/9393294/" TargetMode="External"/><Relationship Id="rId15" Type="http://schemas.openxmlformats.org/officeDocument/2006/relationships/hyperlink" Target="https://www.einj.org/m/journal/view.php?number=858" TargetMode="External"/><Relationship Id="rId16" Type="http://schemas.openxmlformats.org/officeDocument/2006/relationships/hyperlink" Target="https://discovery.ucl.ac.uk/1508572/7/Tudor_Neurogenic%20lower%20urinary%20tract%20dysfunction.pdf" TargetMode="External"/><Relationship Id="rId17" Type="http://schemas.openxmlformats.org/officeDocument/2006/relationships/hyperlink" Target="https://researchers.mq.edu.au/en/publications/diagnosing-detrusor-sphincter-dyssynergia-in-the-neurological-pat" TargetMode="External"/><Relationship Id="rId18" Type="http://schemas.openxmlformats.org/officeDocument/2006/relationships/hyperlink" Target="https://www.hollister.ie/en-ie/continencecare/continencelearningcenter/supportingbladderhealth/understandingneurogenicbladderdisorder" TargetMode="External"/><Relationship Id="rId19" Type="http://schemas.openxmlformats.org/officeDocument/2006/relationships/hyperlink" Target="https://fr.scribd.com/document/320898915/boost-psi-pdf" TargetMode="External"/><Relationship Id="rId20" Type="http://schemas.openxmlformats.org/officeDocument/2006/relationships/hyperlink" Target="https://www.semanticscholar.org/paper/Contemporary-Treatment-of-Detrusor-Sphincter-a-Li-Nahm/54e44cad615053cef2ded7af9d9f60f091f73834" TargetMode="External"/><Relationship Id="rId21" Type="http://schemas.openxmlformats.org/officeDocument/2006/relationships/hyperlink" Target="https://fr.scribd.com/document/226332699/Pressure-Converting-Tables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2026-11-01T19:59:15Z</dcterms:created>
  <dcterms:modified xsi:type="dcterms:W3CDTF">2026-11-01T19:59:15Z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