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there</w:t>
      </w:r>
      <w:r>
        <w:rPr>
          <w:spacing w:val="-27"/>
          <w:w w:val="85"/>
        </w:rPr>
        <w:t> </w:t>
      </w:r>
      <w:r>
        <w:rPr>
          <w:w w:val="85"/>
        </w:rPr>
        <w:t>also</w:t>
      </w:r>
      <w:r>
        <w:rPr>
          <w:spacing w:val="-26"/>
          <w:w w:val="85"/>
        </w:rPr>
        <w:t> </w:t>
      </w:r>
      <w:r>
        <w:rPr>
          <w:w w:val="85"/>
        </w:rPr>
        <w:t>have</w:t>
      </w:r>
      <w:r>
        <w:rPr>
          <w:spacing w:val="-26"/>
          <w:w w:val="85"/>
        </w:rPr>
        <w:t> </w:t>
      </w:r>
      <w:r>
        <w:rPr>
          <w:w w:val="85"/>
        </w:rPr>
        <w:t>been</w:t>
      </w:r>
      <w:r>
        <w:rPr>
          <w:spacing w:val="-26"/>
          <w:w w:val="85"/>
        </w:rPr>
        <w:t> </w:t>
      </w:r>
      <w:r>
        <w:rPr>
          <w:w w:val="85"/>
        </w:rPr>
        <w:t>episodes</w:t>
      </w:r>
      <w:r>
        <w:rPr>
          <w:spacing w:val="-26"/>
          <w:w w:val="85"/>
        </w:rPr>
        <w:t> </w:t>
      </w:r>
      <w:r>
        <w:rPr>
          <w:w w:val="85"/>
        </w:rPr>
        <w:t>of</w:t>
      </w:r>
      <w:r>
        <w:rPr>
          <w:spacing w:val="-26"/>
          <w:w w:val="85"/>
        </w:rPr>
        <w:t> </w:t>
      </w:r>
      <w:r>
        <w:rPr>
          <w:w w:val="85"/>
        </w:rPr>
        <w:t>seizure</w:t>
      </w:r>
      <w:r>
        <w:rPr>
          <w:spacing w:val="-26"/>
          <w:w w:val="85"/>
        </w:rPr>
        <w:t> </w:t>
      </w:r>
      <w:r>
        <w:rPr>
          <w:w w:val="85"/>
        </w:rPr>
        <w:t>like</w:t>
      </w:r>
      <w:r>
        <w:rPr>
          <w:spacing w:val="-26"/>
          <w:w w:val="85"/>
        </w:rPr>
        <w:t> </w:t>
      </w:r>
      <w:r>
        <w:rPr>
          <w:w w:val="85"/>
        </w:rPr>
        <w:t>events with</w:t>
      </w:r>
      <w:r>
        <w:rPr>
          <w:spacing w:val="-3"/>
          <w:w w:val="85"/>
        </w:rPr>
        <w:t> </w:t>
      </w:r>
      <w:r>
        <w:rPr>
          <w:w w:val="85"/>
        </w:rPr>
        <w:t>prolongued</w:t>
      </w:r>
      <w:r>
        <w:rPr>
          <w:spacing w:val="-3"/>
          <w:w w:val="85"/>
        </w:rPr>
        <w:t> </w:t>
      </w:r>
      <w:r>
        <w:rPr>
          <w:w w:val="85"/>
        </w:rPr>
        <w:t>post</w:t>
      </w:r>
      <w:r>
        <w:rPr>
          <w:rFonts w:ascii="Noto Sans"/>
          <w:w w:val="85"/>
          <w:sz w:val="36"/>
        </w:rPr>
        <w:t>-</w:t>
      </w:r>
      <w:r>
        <w:rPr>
          <w:w w:val="85"/>
        </w:rPr>
        <w:t>ictal</w:t>
      </w:r>
      <w:r>
        <w:rPr>
          <w:rFonts w:ascii="Noto Sans"/>
          <w:w w:val="85"/>
          <w:sz w:val="36"/>
        </w:rPr>
        <w:t>.</w:t>
      </w:r>
      <w:r>
        <w:rPr>
          <w:rFonts w:ascii="Noto Sans"/>
          <w:sz w:val="36"/>
        </w:rPr>
        <w:t> </w:t>
      </w:r>
      <w:r>
        <w:rPr>
          <w:w w:val="85"/>
        </w:rPr>
        <w:t>could</w:t>
      </w:r>
      <w:r>
        <w:rPr>
          <w:spacing w:val="-3"/>
          <w:w w:val="85"/>
        </w:rPr>
        <w:t> </w:t>
      </w:r>
      <w:r>
        <w:rPr>
          <w:w w:val="85"/>
        </w:rPr>
        <w:t>this</w:t>
      </w:r>
      <w:r>
        <w:rPr>
          <w:spacing w:val="-3"/>
          <w:w w:val="85"/>
        </w:rPr>
        <w:t> </w:t>
      </w:r>
      <w:r>
        <w:rPr>
          <w:w w:val="85"/>
        </w:rPr>
        <w:t>be</w:t>
      </w:r>
      <w:r>
        <w:rPr>
          <w:spacing w:val="-3"/>
          <w:w w:val="85"/>
        </w:rPr>
        <w:t> </w:t>
      </w:r>
      <w:r>
        <w:rPr>
          <w:w w:val="85"/>
        </w:rPr>
        <w:t>AD</w:t>
      </w:r>
      <w:r>
        <w:rPr>
          <w:spacing w:val="-3"/>
          <w:w w:val="85"/>
        </w:rPr>
        <w:t> </w:t>
      </w:r>
      <w:r>
        <w:rPr>
          <w:w w:val="85"/>
        </w:rPr>
        <w:t>related</w:t>
      </w:r>
    </w:p>
    <w:p>
      <w:pPr>
        <w:pStyle w:val="BodyText"/>
        <w:spacing w:line="278" w:lineRule="auto" w:before="164"/>
        <w:ind w:left="284" w:right="339"/>
        <w:rPr>
          <w:rFonts w:ascii="Arial" w:hAnsi="Arial"/>
          <w:b/>
          <w:sz w:val="21"/>
        </w:rPr>
      </w:pPr>
      <w:r>
        <w:rPr>
          <w:w w:val="85"/>
        </w:rPr>
        <w:t>Yes</w:t>
      </w:r>
      <w:r>
        <w:rPr>
          <w:rFonts w:ascii="Arial" w:hAnsi="Arial"/>
          <w:w w:val="85"/>
          <w:sz w:val="21"/>
        </w:rPr>
        <w:t>. </w:t>
      </w:r>
      <w:r>
        <w:rPr>
          <w:b/>
          <w:w w:val="85"/>
        </w:rPr>
        <w:t>Seizure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like events with prolonged post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ictal periods are a documented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serious complication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of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autonomic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dysre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exia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needs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emergency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assessment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now</w:t>
      </w:r>
      <w:r>
        <w:rPr>
          <w:rFonts w:ascii="Arial" w:hAnsi="Arial"/>
          <w:b/>
          <w:w w:val="85"/>
          <w:sz w:val="21"/>
        </w:rPr>
        <w:t>—</w:t>
      </w:r>
      <w:r>
        <w:rPr>
          <w:b/>
          <w:w w:val="85"/>
        </w:rPr>
        <w:t>not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at </w:t>
      </w:r>
      <w:r>
        <w:rPr>
          <w:b/>
          <w:spacing w:val="-2"/>
          <w:w w:val="95"/>
        </w:rPr>
        <w:t>your</w:t>
      </w:r>
      <w:r>
        <w:rPr>
          <w:b/>
          <w:spacing w:val="-22"/>
          <w:w w:val="95"/>
        </w:rPr>
        <w:t> </w:t>
      </w:r>
      <w:r>
        <w:rPr>
          <w:b/>
          <w:spacing w:val="-2"/>
          <w:w w:val="95"/>
        </w:rPr>
        <w:t>next</w:t>
      </w:r>
      <w:r>
        <w:rPr>
          <w:b/>
          <w:spacing w:val="-22"/>
          <w:w w:val="95"/>
        </w:rPr>
        <w:t> </w:t>
      </w:r>
      <w:r>
        <w:rPr>
          <w:b/>
          <w:spacing w:val="-2"/>
          <w:w w:val="95"/>
        </w:rPr>
        <w:t>appointment</w:t>
      </w:r>
      <w:r>
        <w:rPr>
          <w:rFonts w:ascii="Arial" w:hAnsi="Arial"/>
          <w:b/>
          <w:spacing w:val="-2"/>
          <w:w w:val="95"/>
          <w:sz w:val="21"/>
        </w:rPr>
        <w:t>.</w:t>
      </w:r>
    </w:p>
    <w:p>
      <w:pPr>
        <w:pStyle w:val="BodyText"/>
        <w:spacing w:before="38"/>
        <w:ind w:left="0"/>
        <w:rPr>
          <w:rFonts w:ascii="Arial"/>
          <w:b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evidence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shows</w:t>
      </w:r>
    </w:p>
    <w:p>
      <w:pPr>
        <w:pStyle w:val="BodyText"/>
        <w:spacing w:line="256" w:lineRule="auto" w:before="204"/>
        <w:ind w:left="284" w:right="339"/>
        <w:rPr>
          <w:rFonts w:ascii="Calibri"/>
          <w:sz w:val="21"/>
        </w:rPr>
      </w:pPr>
      <w:r>
        <w:rPr>
          <w:w w:val="90"/>
        </w:rPr>
        <w:t>AD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related severe hypertension can cause seizures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cerebral hemorrhage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cerebral ischemia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death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review</w:t>
      </w:r>
      <w:r>
        <w:rPr>
          <w:spacing w:val="-16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rFonts w:ascii="Arial"/>
          <w:w w:val="90"/>
          <w:sz w:val="21"/>
        </w:rPr>
        <w:t>23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documented</w:t>
      </w:r>
      <w:r>
        <w:rPr>
          <w:spacing w:val="-15"/>
          <w:w w:val="90"/>
        </w:rPr>
        <w:t> </w:t>
      </w:r>
      <w:r>
        <w:rPr>
          <w:w w:val="90"/>
        </w:rPr>
        <w:t>CNS</w:t>
      </w:r>
      <w:r>
        <w:rPr>
          <w:spacing w:val="-16"/>
          <w:w w:val="90"/>
        </w:rPr>
        <w:t> </w:t>
      </w:r>
      <w:r>
        <w:rPr>
          <w:w w:val="90"/>
        </w:rPr>
        <w:t>complications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5"/>
          <w:w w:val="90"/>
        </w:rPr>
        <w:t> </w:t>
      </w:r>
      <w:r>
        <w:rPr>
          <w:w w:val="90"/>
        </w:rPr>
        <w:t>AD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b/>
          <w:w w:val="90"/>
        </w:rPr>
        <w:t>seizures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convulsions accounted for </w:t>
      </w:r>
      <w:r>
        <w:rPr>
          <w:rFonts w:ascii="Arial"/>
          <w:b/>
          <w:w w:val="90"/>
          <w:sz w:val="21"/>
        </w:rPr>
        <w:t>39%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intracranial hemorrhage for </w:t>
      </w:r>
      <w:r>
        <w:rPr>
          <w:rFonts w:ascii="Arial"/>
          <w:w w:val="90"/>
          <w:sz w:val="21"/>
        </w:rPr>
        <w:t>48</w:t>
      </w:r>
      <w:r>
        <w:rPr>
          <w:rFonts w:ascii="Bauhaus 93"/>
          <w:w w:val="90"/>
          <w:sz w:val="21"/>
        </w:rPr>
        <w:t>%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cerebral ischemia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infarction for </w:t>
      </w:r>
      <w:r>
        <w:rPr>
          <w:rFonts w:ascii="Arial"/>
          <w:spacing w:val="-2"/>
          <w:sz w:val="21"/>
        </w:rPr>
        <w:t>17</w:t>
      </w:r>
      <w:r>
        <w:rPr>
          <w:rFonts w:ascii="Bauhaus 93"/>
          <w:spacing w:val="-2"/>
          <w:sz w:val="21"/>
        </w:rPr>
        <w:t>%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224"/>
        <w:ind w:left="284" w:right="339"/>
        <w:rPr>
          <w:rFonts w:ascii="Calibri" w:hAnsi="Calibri"/>
          <w:sz w:val="21"/>
        </w:rPr>
      </w:pPr>
      <w:r>
        <w:rPr>
          <w:w w:val="90"/>
        </w:rPr>
        <w:t>Blood</w:t>
      </w:r>
      <w:r>
        <w:rPr>
          <w:spacing w:val="-4"/>
          <w:w w:val="90"/>
        </w:rPr>
        <w:t> </w:t>
      </w:r>
      <w:r>
        <w:rPr>
          <w:w w:val="90"/>
        </w:rPr>
        <w:t>pressure</w:t>
      </w:r>
      <w:r>
        <w:rPr>
          <w:spacing w:val="-4"/>
          <w:w w:val="90"/>
        </w:rPr>
        <w:t> </w:t>
      </w:r>
      <w:r>
        <w:rPr>
          <w:w w:val="90"/>
        </w:rPr>
        <w:t>during</w:t>
      </w:r>
      <w:r>
        <w:rPr>
          <w:spacing w:val="-4"/>
          <w:w w:val="90"/>
        </w:rPr>
        <w:t> </w:t>
      </w:r>
      <w:r>
        <w:rPr>
          <w:w w:val="90"/>
        </w:rPr>
        <w:t>an</w:t>
      </w:r>
      <w:r>
        <w:rPr>
          <w:spacing w:val="-4"/>
          <w:w w:val="90"/>
        </w:rPr>
        <w:t> </w:t>
      </w:r>
      <w:r>
        <w:rPr>
          <w:w w:val="90"/>
        </w:rPr>
        <w:t>AD</w:t>
      </w:r>
      <w:r>
        <w:rPr>
          <w:spacing w:val="-4"/>
          <w:w w:val="90"/>
        </w:rPr>
        <w:t> </w:t>
      </w:r>
      <w:r>
        <w:rPr>
          <w:w w:val="90"/>
        </w:rPr>
        <w:t>episode</w:t>
      </w:r>
      <w:r>
        <w:rPr>
          <w:spacing w:val="-4"/>
          <w:w w:val="90"/>
        </w:rPr>
        <w:t> </w:t>
      </w:r>
      <w:r>
        <w:rPr>
          <w:w w:val="90"/>
        </w:rPr>
        <w:t>can</w:t>
      </w:r>
      <w:r>
        <w:rPr>
          <w:spacing w:val="-4"/>
          <w:w w:val="90"/>
        </w:rPr>
        <w:t> </w:t>
      </w:r>
      <w:r>
        <w:rPr>
          <w:w w:val="90"/>
        </w:rPr>
        <w:t>reach</w:t>
      </w:r>
      <w:r>
        <w:rPr>
          <w:spacing w:val="-4"/>
          <w:w w:val="90"/>
        </w:rPr>
        <w:t> </w:t>
      </w:r>
      <w:r>
        <w:rPr>
          <w:rFonts w:ascii="Arial" w:hAnsi="Arial"/>
          <w:b/>
          <w:w w:val="90"/>
          <w:sz w:val="21"/>
        </w:rPr>
        <w:t>300 </w:t>
      </w:r>
      <w:r>
        <w:rPr>
          <w:b/>
          <w:w w:val="90"/>
        </w:rPr>
        <w:t>mmHg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systolic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high</w:t>
      </w:r>
      <w:r>
        <w:rPr>
          <w:spacing w:val="-4"/>
          <w:w w:val="90"/>
        </w:rPr>
        <w:t> </w:t>
      </w:r>
      <w:r>
        <w:rPr>
          <w:w w:val="90"/>
        </w:rPr>
        <w:t>enough</w:t>
      </w:r>
      <w:r>
        <w:rPr>
          <w:spacing w:val="-4"/>
          <w:w w:val="90"/>
        </w:rPr>
        <w:t> </w:t>
      </w:r>
      <w:r>
        <w:rPr>
          <w:w w:val="90"/>
        </w:rPr>
        <w:t>to cause</w:t>
      </w:r>
      <w:r>
        <w:rPr>
          <w:spacing w:val="-14"/>
          <w:w w:val="90"/>
        </w:rPr>
        <w:t> </w:t>
      </w:r>
      <w:r>
        <w:rPr>
          <w:w w:val="90"/>
        </w:rPr>
        <w:t>cerebral</w:t>
      </w:r>
      <w:r>
        <w:rPr>
          <w:spacing w:val="-14"/>
          <w:w w:val="90"/>
        </w:rPr>
        <w:t> </w:t>
      </w:r>
      <w:r>
        <w:rPr>
          <w:w w:val="90"/>
        </w:rPr>
        <w:t>edema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seizures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coma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death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14"/>
          <w:w w:val="90"/>
        </w:rPr>
        <w:t> </w:t>
      </w:r>
      <w:r>
        <w:rPr>
          <w:w w:val="90"/>
        </w:rPr>
        <w:t>events</w:t>
      </w:r>
      <w:r>
        <w:rPr>
          <w:spacing w:val="-14"/>
          <w:w w:val="90"/>
        </w:rPr>
        <w:t> </w:t>
      </w:r>
      <w:r>
        <w:rPr>
          <w:w w:val="90"/>
        </w:rPr>
        <w:t>with</w:t>
      </w:r>
      <w:r>
        <w:rPr>
          <w:spacing w:val="-14"/>
          <w:w w:val="90"/>
        </w:rPr>
        <w:t> </w:t>
      </w:r>
      <w:r>
        <w:rPr>
          <w:w w:val="90"/>
        </w:rPr>
        <w:t>prolonged</w:t>
      </w:r>
      <w:r>
        <w:rPr>
          <w:spacing w:val="-14"/>
          <w:w w:val="90"/>
        </w:rPr>
        <w:t>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ictal periods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 this pattern exactly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 hypertension from AD causes cerebral edema or hemorrhage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triggers</w:t>
      </w:r>
      <w:r>
        <w:rPr>
          <w:spacing w:val="-9"/>
          <w:w w:val="90"/>
        </w:rPr>
        <w:t> </w:t>
      </w:r>
      <w:r>
        <w:rPr>
          <w:w w:val="90"/>
        </w:rPr>
        <w:t>seizure</w:t>
      </w:r>
      <w:r>
        <w:rPr>
          <w:spacing w:val="-9"/>
          <w:w w:val="90"/>
        </w:rPr>
        <w:t> </w:t>
      </w:r>
      <w:r>
        <w:rPr>
          <w:w w:val="90"/>
        </w:rPr>
        <w:t>activity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prolonged</w:t>
      </w:r>
      <w:r>
        <w:rPr>
          <w:spacing w:val="-9"/>
          <w:w w:val="90"/>
        </w:rPr>
        <w:t>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ictal</w:t>
      </w:r>
      <w:r>
        <w:rPr>
          <w:spacing w:val="-9"/>
          <w:w w:val="90"/>
        </w:rPr>
        <w:t> </w:t>
      </w:r>
      <w:r>
        <w:rPr>
          <w:w w:val="90"/>
        </w:rPr>
        <w:t>state</w:t>
      </w:r>
      <w:r>
        <w:rPr>
          <w:spacing w:val="-9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ects</w:t>
      </w:r>
      <w:r>
        <w:rPr>
          <w:spacing w:val="-9"/>
          <w:w w:val="90"/>
        </w:rPr>
        <w:t> </w:t>
      </w:r>
      <w:r>
        <w:rPr>
          <w:w w:val="90"/>
        </w:rPr>
        <w:t>ongoing </w:t>
      </w:r>
      <w:r>
        <w:rPr/>
        <w:t>brain injury or edema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  <w:r>
        <w:rPr>
          <w:rFonts w:ascii="Calibri" w:hAnsi="Calibri"/>
          <w:spacing w:val="30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is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urgent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you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speci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cally</w:t>
      </w:r>
    </w:p>
    <w:p>
      <w:pPr>
        <w:pStyle w:val="BodyText"/>
        <w:spacing w:before="189"/>
        <w:ind w:left="284"/>
        <w:rPr>
          <w:rFonts w:ascii="Arial" w:hAnsi="Arial"/>
          <w:sz w:val="21"/>
        </w:rPr>
      </w:pP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full</w:t>
      </w:r>
      <w:r>
        <w:rPr>
          <w:spacing w:val="-10"/>
          <w:w w:val="90"/>
        </w:rPr>
        <w:t> </w:t>
      </w:r>
      <w:r>
        <w:rPr>
          <w:w w:val="90"/>
        </w:rPr>
        <w:t>risk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pro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le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369" w:lineRule="auto" w:before="1"/>
        <w:ind w:right="25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66446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31970pt;width:3.75pt;height:3.75pt;mso-position-horizontal-relative:page;mso-position-vertical-relative:paragraph;z-index:15728640" id="docshape1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333145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26.231968pt;width:3.75pt;height:3.75pt;mso-position-horizontal-relative:page;mso-position-vertical-relative:paragraph;z-index:15729152" id="docshape2" coordorigin="1530,525" coordsize="75,75" path="m1572,600l1563,600,1558,599,1530,567,1530,557,1563,525,1572,525,1605,557,1605,562,1605,567,1577,599,1572,6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Sensory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impaired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1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warning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signal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before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episodes </w:t>
      </w:r>
      <w:r>
        <w:rPr>
          <w:rFonts w:ascii="Arial"/>
          <w:b/>
          <w:w w:val="90"/>
          <w:sz w:val="21"/>
        </w:rPr>
        <w:t>30+ </w:t>
      </w:r>
      <w:r>
        <w:rPr>
          <w:b/>
          <w:w w:val="90"/>
        </w:rPr>
        <w:t>hour retention </w:t>
      </w:r>
      <w:r>
        <w:rPr>
          <w:w w:val="90"/>
        </w:rPr>
        <w:t>between catheterizations</w:t>
      </w:r>
    </w:p>
    <w:p>
      <w:pPr>
        <w:pStyle w:val="BodyText"/>
        <w:spacing w:before="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67714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33185pt;width:3.75pt;height:3.75pt;mso-position-horizontal-relative:page;mso-position-vertical-relative:paragraph;z-index:15729664" id="docshape3" coordorigin="1530,107" coordsize="75,75" path="m1572,182l1563,182,1558,181,1530,149,1530,139,1563,107,1572,107,1605,139,1605,144,1605,149,1577,181,1572,1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Valsalva</w:t>
      </w:r>
      <w:r>
        <w:rPr>
          <w:rFonts w:ascii="Arial" w:hAnsi="Arial"/>
          <w:b/>
          <w:w w:val="85"/>
          <w:sz w:val="21"/>
        </w:rPr>
        <w:t>/</w:t>
      </w:r>
      <w:r>
        <w:rPr>
          <w:b/>
          <w:w w:val="85"/>
        </w:rPr>
        <w:t>Cred</w:t>
      </w:r>
      <w:r>
        <w:rPr>
          <w:rFonts w:ascii="Arial" w:hAnsi="Arial"/>
          <w:b/>
          <w:w w:val="85"/>
          <w:sz w:val="21"/>
        </w:rPr>
        <w:t>é</w:t>
      </w:r>
      <w:r>
        <w:rPr>
          <w:rFonts w:ascii="Arial" w:hAnsi="Arial"/>
          <w:b/>
          <w:spacing w:val="8"/>
          <w:sz w:val="21"/>
        </w:rPr>
        <w:t> </w:t>
      </w:r>
      <w:r>
        <w:rPr>
          <w:b/>
          <w:w w:val="85"/>
        </w:rPr>
        <w:t>use</w:t>
      </w:r>
      <w:r>
        <w:rPr>
          <w:b/>
          <w:spacing w:val="-3"/>
        </w:rPr>
        <w:t> </w:t>
      </w:r>
      <w:r>
        <w:rPr>
          <w:w w:val="85"/>
        </w:rPr>
        <w:t>that</w:t>
      </w:r>
      <w:r>
        <w:rPr>
          <w:spacing w:val="-2"/>
        </w:rPr>
        <w:t> </w:t>
      </w:r>
      <w:r>
        <w:rPr>
          <w:w w:val="85"/>
        </w:rPr>
        <w:t>spikes</w:t>
      </w:r>
      <w:r>
        <w:rPr>
          <w:spacing w:val="-2"/>
        </w:rPr>
        <w:t> </w:t>
      </w:r>
      <w:r>
        <w:rPr>
          <w:w w:val="85"/>
        </w:rPr>
        <w:t>pressure</w:t>
      </w:r>
      <w:r>
        <w:rPr>
          <w:spacing w:val="-2"/>
        </w:rPr>
        <w:t> </w:t>
      </w:r>
      <w:r>
        <w:rPr>
          <w:spacing w:val="-2"/>
          <w:w w:val="85"/>
        </w:rPr>
        <w:t>further</w:t>
      </w:r>
    </w:p>
    <w:p>
      <w:pPr>
        <w:pStyle w:val="BodyText"/>
        <w:spacing w:line="273" w:lineRule="auto" w:before="113"/>
        <w:ind w:right="339" w:hanging="25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0"/>
          <w:w w:val="150"/>
          <w:sz w:val="20"/>
        </w:rPr>
        <w:t> </w:t>
      </w:r>
      <w:r>
        <w:rPr>
          <w:b/>
          <w:w w:val="90"/>
        </w:rPr>
        <w:t>Documented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symptoms</w:t>
      </w:r>
      <w:r>
        <w:rPr>
          <w:b/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ear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cognitive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pacing w:val="-3"/>
          <w:w w:val="90"/>
          <w:sz w:val="21"/>
        </w:rPr>
        <w:t> </w:t>
      </w:r>
      <w:r>
        <w:rPr>
          <w:w w:val="90"/>
        </w:rPr>
        <w:t>that </w:t>
      </w:r>
      <w:r>
        <w:rPr>
          <w:spacing w:val="-4"/>
        </w:rPr>
        <w:t>resolve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catheterization</w:t>
      </w:r>
    </w:p>
    <w:p>
      <w:pPr>
        <w:pStyle w:val="BodyText"/>
        <w:spacing w:before="77"/>
        <w:ind w:left="284" w:firstLine="165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b/>
          <w:w w:val="85"/>
        </w:rPr>
        <w:t>Now seizure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like events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the</w:t>
      </w:r>
      <w:r>
        <w:rPr/>
        <w:t> </w:t>
      </w:r>
      <w:r>
        <w:rPr>
          <w:w w:val="85"/>
        </w:rPr>
        <w:t>complication</w:t>
      </w:r>
      <w:r>
        <w:rPr/>
        <w:t> </w:t>
      </w:r>
      <w:r>
        <w:rPr>
          <w:w w:val="85"/>
        </w:rPr>
        <w:t>that</w:t>
      </w:r>
      <w:r>
        <w:rPr/>
        <w:t> </w:t>
      </w:r>
      <w:r>
        <w:rPr>
          <w:w w:val="85"/>
        </w:rPr>
        <w:t>appears</w:t>
      </w:r>
      <w:r>
        <w:rPr/>
        <w:t> </w:t>
      </w:r>
      <w:r>
        <w:rPr>
          <w:w w:val="85"/>
        </w:rPr>
        <w:t>in</w:t>
      </w:r>
      <w:r>
        <w:rPr/>
        <w:t> </w:t>
      </w:r>
      <w:r>
        <w:rPr>
          <w:rFonts w:ascii="Arial" w:hAnsi="Arial"/>
          <w:w w:val="85"/>
          <w:sz w:val="21"/>
        </w:rPr>
        <w:t>39</w:t>
      </w:r>
      <w:r>
        <w:rPr>
          <w:rFonts w:ascii="Bauhaus 93" w:hAnsi="Bauhaus 93"/>
          <w:w w:val="85"/>
          <w:sz w:val="21"/>
        </w:rPr>
        <w:t>%</w:t>
      </w:r>
      <w:r>
        <w:rPr>
          <w:rFonts w:ascii="Bauhaus 93" w:hAnsi="Bauhaus 93"/>
          <w:spacing w:val="26"/>
          <w:sz w:val="21"/>
        </w:rPr>
        <w:t> </w:t>
      </w:r>
      <w:r>
        <w:rPr>
          <w:w w:val="85"/>
        </w:rPr>
        <w:t>of</w:t>
      </w:r>
      <w:r>
        <w:rPr/>
        <w:t> </w:t>
      </w:r>
      <w:r>
        <w:rPr>
          <w:w w:val="85"/>
        </w:rPr>
        <w:t>serious</w:t>
      </w:r>
      <w:r>
        <w:rPr/>
        <w:t> </w:t>
      </w:r>
      <w:r>
        <w:rPr>
          <w:w w:val="85"/>
        </w:rPr>
        <w:t>AD</w:t>
      </w:r>
      <w:r>
        <w:rPr/>
        <w:t> </w:t>
      </w:r>
      <w:r>
        <w:rPr>
          <w:w w:val="85"/>
        </w:rPr>
        <w:t>cases</w:t>
      </w:r>
    </w:p>
    <w:p>
      <w:pPr>
        <w:pStyle w:val="BodyText"/>
        <w:spacing w:line="278" w:lineRule="auto" w:before="149"/>
        <w:ind w:left="284" w:right="33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2122654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7.138168pt;margin-top:31.314091pt;width:2.817744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2266422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458481pt;margin-top:31.314091pt;width:2.817744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2410190</wp:posOffset>
                </wp:positionH>
                <wp:positionV relativeFrom="paragraph">
                  <wp:posOffset>397688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9.778793pt;margin-top:31.314091pt;width:2.817744pt;height:.75pt;mso-position-horizontal-relative:page;mso-position-vertical-relative:paragraph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pattern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manage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5"/>
          <w:w w:val="90"/>
        </w:rPr>
        <w:t> </w:t>
      </w:r>
      <w:r>
        <w:rPr>
          <w:w w:val="90"/>
        </w:rPr>
        <w:t>home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wait</w:t>
      </w:r>
      <w:r>
        <w:rPr>
          <w:spacing w:val="-15"/>
          <w:w w:val="90"/>
        </w:rPr>
        <w:t> </w:t>
      </w:r>
      <w:r>
        <w:rPr>
          <w:w w:val="90"/>
        </w:rPr>
        <w:t>out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Each</w:t>
      </w:r>
      <w:r>
        <w:rPr>
          <w:spacing w:val="-15"/>
          <w:w w:val="90"/>
        </w:rPr>
        <w:t> </w:t>
      </w:r>
      <w:r>
        <w:rPr>
          <w:w w:val="90"/>
        </w:rPr>
        <w:t>episode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potential</w:t>
      </w:r>
      <w:r>
        <w:rPr>
          <w:spacing w:val="-15"/>
          <w:w w:val="90"/>
        </w:rPr>
        <w:t> </w:t>
      </w:r>
      <w:r>
        <w:rPr>
          <w:w w:val="90"/>
        </w:rPr>
        <w:t>stroke</w:t>
      </w:r>
      <w:r>
        <w:rPr>
          <w:spacing w:val="-15"/>
          <w:w w:val="90"/>
        </w:rPr>
        <w:t> </w:t>
      </w:r>
      <w:r>
        <w:rPr>
          <w:w w:val="90"/>
        </w:rPr>
        <w:t>or </w:t>
      </w:r>
      <w:r>
        <w:rPr/>
        <w:t>hemorrhage event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[4]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[5]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[1]</w:t>
      </w:r>
    </w:p>
    <w:p>
      <w:pPr>
        <w:pStyle w:val="BodyText"/>
        <w:spacing w:before="36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Go</w:t>
      </w:r>
      <w:r>
        <w:rPr>
          <w:b/>
          <w:spacing w:val="3"/>
        </w:rPr>
        <w:t> </w:t>
      </w:r>
      <w:r>
        <w:rPr>
          <w:b/>
          <w:w w:val="80"/>
        </w:rPr>
        <w:t>to</w:t>
      </w:r>
      <w:r>
        <w:rPr>
          <w:b/>
          <w:spacing w:val="4"/>
        </w:rPr>
        <w:t> </w:t>
      </w:r>
      <w:r>
        <w:rPr>
          <w:b/>
          <w:w w:val="80"/>
        </w:rPr>
        <w:t>the</w:t>
      </w:r>
      <w:r>
        <w:rPr>
          <w:b/>
          <w:spacing w:val="4"/>
        </w:rPr>
        <w:t> </w:t>
      </w:r>
      <w:r>
        <w:rPr>
          <w:b/>
          <w:w w:val="80"/>
        </w:rPr>
        <w:t>emergency</w:t>
      </w:r>
      <w:r>
        <w:rPr>
          <w:b/>
          <w:spacing w:val="4"/>
        </w:rPr>
        <w:t> </w:t>
      </w:r>
      <w:r>
        <w:rPr>
          <w:b/>
          <w:w w:val="80"/>
        </w:rPr>
        <w:t>department</w:t>
      </w:r>
      <w:r>
        <w:rPr>
          <w:b/>
          <w:spacing w:val="4"/>
        </w:rPr>
        <w:t> </w:t>
      </w:r>
      <w:r>
        <w:rPr>
          <w:b/>
          <w:spacing w:val="-5"/>
          <w:w w:val="80"/>
        </w:rPr>
        <w:t>now</w:t>
      </w:r>
    </w:p>
    <w:p>
      <w:pPr>
        <w:pStyle w:val="BodyText"/>
        <w:spacing w:before="205"/>
        <w:ind w:left="284"/>
        <w:rPr>
          <w:rFonts w:ascii="Arial"/>
          <w:sz w:val="21"/>
        </w:rPr>
      </w:pPr>
      <w:r>
        <w:rPr>
          <w:spacing w:val="-2"/>
          <w:w w:val="90"/>
        </w:rPr>
        <w:t>Do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wait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next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episode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rFonts w:ascii="Arial"/>
          <w:spacing w:val="-2"/>
          <w:w w:val="90"/>
          <w:sz w:val="21"/>
        </w:rPr>
        <w:t>"</w:t>
      </w:r>
      <w:r>
        <w:rPr>
          <w:spacing w:val="-2"/>
          <w:w w:val="90"/>
        </w:rPr>
        <w:t>see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happens</w:t>
      </w:r>
      <w:r>
        <w:rPr>
          <w:rFonts w:ascii="Arial"/>
          <w:spacing w:val="-2"/>
          <w:w w:val="90"/>
          <w:sz w:val="21"/>
        </w:rPr>
        <w:t>."</w:t>
      </w:r>
      <w:r>
        <w:rPr>
          <w:rFonts w:ascii="Arial"/>
          <w:spacing w:val="-2"/>
          <w:sz w:val="21"/>
        </w:rPr>
        <w:t> </w:t>
      </w:r>
      <w:r>
        <w:rPr>
          <w:spacing w:val="-2"/>
          <w:w w:val="90"/>
        </w:rPr>
        <w:t>Go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tell</w:t>
      </w:r>
      <w:r>
        <w:rPr>
          <w:spacing w:val="-9"/>
          <w:w w:val="90"/>
        </w:rPr>
        <w:t> </w:t>
      </w:r>
      <w:r>
        <w:rPr>
          <w:spacing w:val="-4"/>
          <w:w w:val="90"/>
        </w:rPr>
        <w:t>them</w:t>
      </w:r>
      <w:r>
        <w:rPr>
          <w:rFonts w:ascii="Arial"/>
          <w:spacing w:val="-4"/>
          <w:w w:val="90"/>
          <w:sz w:val="21"/>
        </w:rPr>
        <w:t>:</w:t>
      </w:r>
    </w:p>
    <w:p>
      <w:pPr>
        <w:pStyle w:val="BodyText"/>
        <w:spacing w:after="0"/>
        <w:rPr>
          <w:rFonts w:asci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78" w:lineRule="auto" w:before="22"/>
        <w:ind w:left="1019" w:right="43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866774</wp:posOffset>
                </wp:positionH>
                <wp:positionV relativeFrom="paragraph">
                  <wp:posOffset>12699</wp:posOffset>
                </wp:positionV>
                <wp:extent cx="66675" cy="120015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675" cy="1200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200150">
                              <a:moveTo>
                                <a:pt x="66674" y="1200149"/>
                              </a:moveTo>
                              <a:lnTo>
                                <a:pt x="0" y="1200149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1200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.999971pt;width:5.25pt;height:94.499992pt;mso-position-horizontal-relative:page;mso-position-vertical-relative:paragraph;z-index:15731712" id="docshape7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sensory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impaired</w:t>
      </w:r>
      <w:r>
        <w:rPr>
          <w:spacing w:val="-8"/>
          <w:w w:val="90"/>
        </w:rPr>
        <w:t> </w:t>
      </w:r>
      <w:r>
        <w:rPr>
          <w:w w:val="90"/>
        </w:rPr>
        <w:t>neurogenic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urge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episodes of profuse sweating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nasal congestion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ear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cognitive changes that resolve within an hour of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 have also had seizure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like events with prolonged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ictal periods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 believe these are 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 episodes triggered by bladder distention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 need evaluation for AD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 seizure risk and cerebral </w:t>
      </w:r>
      <w:r>
        <w:rPr>
          <w:spacing w:val="-2"/>
        </w:rPr>
        <w:t>complications</w:t>
      </w:r>
      <w:r>
        <w:rPr>
          <w:rFonts w:ascii="Arial" w:hAnsi="Arial"/>
          <w:spacing w:val="-2"/>
          <w:sz w:val="21"/>
        </w:rPr>
        <w:t>."</w:t>
      </w:r>
    </w:p>
    <w:p>
      <w:pPr>
        <w:pStyle w:val="BodyText"/>
        <w:spacing w:before="215"/>
        <w:ind w:left="284"/>
        <w:rPr>
          <w:rFonts w:ascii="Arial"/>
          <w:sz w:val="21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4"/>
        </w:rPr>
        <w:t>for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66245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16181pt;width:3.75pt;height:3.75pt;mso-position-horizontal-relative:page;mso-position-vertical-relative:paragraph;z-index:15732224" id="docshape8" coordorigin="1530,104" coordsize="75,75" path="m1572,179l1563,179,1558,178,1530,147,1530,137,1563,104,1572,104,1605,137,1605,142,1605,147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Blood</w:t>
      </w:r>
      <w:r>
        <w:rPr>
          <w:b/>
          <w:spacing w:val="-1"/>
          <w:w w:val="85"/>
        </w:rPr>
        <w:t> </w:t>
      </w:r>
      <w:r>
        <w:rPr>
          <w:b/>
          <w:w w:val="85"/>
        </w:rPr>
        <w:t>pressure</w:t>
      </w:r>
      <w:r>
        <w:rPr>
          <w:b/>
          <w:spacing w:val="-11"/>
        </w:rPr>
        <w:t> </w:t>
      </w:r>
      <w:r>
        <w:rPr>
          <w:b/>
          <w:w w:val="85"/>
        </w:rPr>
        <w:t>monitoring</w:t>
      </w:r>
      <w:r>
        <w:rPr>
          <w:b/>
          <w:spacing w:val="-9"/>
        </w:rPr>
        <w:t> </w:t>
      </w:r>
      <w:r>
        <w:rPr>
          <w:w w:val="85"/>
        </w:rPr>
        <w:t>during</w:t>
      </w:r>
      <w:r>
        <w:rPr>
          <w:spacing w:val="-7"/>
        </w:rPr>
        <w:t> </w:t>
      </w:r>
      <w:r>
        <w:rPr>
          <w:w w:val="85"/>
        </w:rPr>
        <w:t>and</w:t>
      </w:r>
      <w:r>
        <w:rPr>
          <w:spacing w:val="-8"/>
        </w:rPr>
        <w:t> </w:t>
      </w:r>
      <w:r>
        <w:rPr>
          <w:w w:val="85"/>
        </w:rPr>
        <w:t>a</w:t>
      </w:r>
      <w:r>
        <w:rPr>
          <w:rFonts w:ascii="Arial"/>
          <w:spacing w:val="36"/>
          <w:sz w:val="21"/>
        </w:rPr>
        <w:t>  </w:t>
      </w:r>
      <w:r>
        <w:rPr>
          <w:w w:val="85"/>
        </w:rPr>
        <w:t>er</w:t>
      </w:r>
      <w:r>
        <w:rPr>
          <w:spacing w:val="-6"/>
        </w:rPr>
        <w:t> </w:t>
      </w:r>
      <w:r>
        <w:rPr>
          <w:w w:val="85"/>
        </w:rPr>
        <w:t>any</w:t>
      </w:r>
      <w:r>
        <w:rPr>
          <w:spacing w:val="-8"/>
        </w:rPr>
        <w:t> </w:t>
      </w:r>
      <w:r>
        <w:rPr>
          <w:spacing w:val="-2"/>
          <w:w w:val="85"/>
        </w:rPr>
        <w:t>episode</w:t>
      </w:r>
    </w:p>
    <w:p>
      <w:pPr>
        <w:pStyle w:val="BodyText"/>
        <w:spacing w:before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160081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4851pt;width:3.75pt;height:3.75pt;mso-position-horizontal-relative:page;mso-position-vertical-relative:paragraph;z-index:15732736" id="docshape9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Brain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imaging</w:t>
      </w:r>
      <w:r>
        <w:rPr>
          <w:b/>
          <w:spacing w:val="-9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CT</w:t>
      </w:r>
      <w:r>
        <w:rPr>
          <w:spacing w:val="-14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MRI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pacing w:val="5"/>
          <w:sz w:val="21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rule</w:t>
      </w:r>
      <w:r>
        <w:rPr>
          <w:spacing w:val="-8"/>
          <w:w w:val="90"/>
        </w:rPr>
        <w:t> </w:t>
      </w:r>
      <w:r>
        <w:rPr>
          <w:w w:val="90"/>
        </w:rPr>
        <w:t>out</w:t>
      </w:r>
      <w:r>
        <w:rPr>
          <w:spacing w:val="-8"/>
          <w:w w:val="90"/>
        </w:rPr>
        <w:t> </w:t>
      </w:r>
      <w:r>
        <w:rPr>
          <w:w w:val="90"/>
        </w:rPr>
        <w:t>hemorrhage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w w:val="90"/>
        </w:rPr>
        <w:t>edema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sz w:val="21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infarct</w:t>
      </w:r>
      <w:r>
        <w:rPr>
          <w:spacing w:val="-8"/>
          <w:w w:val="90"/>
        </w:rPr>
        <w:t> </w:t>
      </w:r>
      <w:r>
        <w:rPr>
          <w:w w:val="90"/>
        </w:rPr>
        <w:t>from</w:t>
      </w:r>
      <w:r>
        <w:rPr>
          <w:spacing w:val="-8"/>
          <w:w w:val="90"/>
        </w:rPr>
        <w:t> </w:t>
      </w:r>
      <w:r>
        <w:rPr>
          <w:w w:val="90"/>
        </w:rPr>
        <w:t>prior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episodes</w:t>
      </w:r>
    </w:p>
    <w:p>
      <w:pPr>
        <w:pStyle w:val="BodyText"/>
        <w:spacing w:before="1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159640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0132pt;width:3.75pt;height:3.75pt;mso-position-horizontal-relative:page;mso-position-vertical-relative:paragraph;z-index:15733248" id="docshape10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EEG</w:t>
      </w:r>
      <w:r>
        <w:rPr>
          <w:b/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characterize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seizure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events</w:t>
      </w:r>
    </w:p>
    <w:p>
      <w:pPr>
        <w:pStyle w:val="BodyText"/>
        <w:spacing w:before="1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160131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8803pt;width:3.75pt;height:3.75pt;mso-position-horizontal-relative:page;mso-position-vertical-relative:paragraph;z-index:15733760" id="docshape11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Urology</w:t>
      </w:r>
      <w:r>
        <w:rPr>
          <w:b/>
          <w:spacing w:val="4"/>
        </w:rPr>
        <w:t> </w:t>
      </w:r>
      <w:r>
        <w:rPr>
          <w:b/>
          <w:w w:val="85"/>
        </w:rPr>
        <w:t>consultation</w:t>
      </w:r>
      <w:r>
        <w:rPr>
          <w:b/>
          <w:spacing w:val="8"/>
        </w:rPr>
        <w:t> </w:t>
      </w:r>
      <w:r>
        <w:rPr>
          <w:w w:val="85"/>
        </w:rPr>
        <w:t>for</w:t>
      </w:r>
      <w:r>
        <w:rPr>
          <w:spacing w:val="9"/>
        </w:rPr>
        <w:t> </w:t>
      </w:r>
      <w:r>
        <w:rPr>
          <w:w w:val="85"/>
        </w:rPr>
        <w:t>an</w:t>
      </w:r>
      <w:r>
        <w:rPr>
          <w:spacing w:val="10"/>
        </w:rPr>
        <w:t> </w:t>
      </w:r>
      <w:r>
        <w:rPr>
          <w:w w:val="85"/>
        </w:rPr>
        <w:t>urgent</w:t>
      </w:r>
      <w:r>
        <w:rPr>
          <w:spacing w:val="9"/>
        </w:rPr>
        <w:t> </w:t>
      </w:r>
      <w:r>
        <w:rPr>
          <w:w w:val="85"/>
        </w:rPr>
        <w:t>bladder</w:t>
      </w:r>
      <w:r>
        <w:rPr>
          <w:rFonts w:ascii="Arial"/>
          <w:w w:val="85"/>
          <w:sz w:val="21"/>
        </w:rPr>
        <w:t>-</w:t>
      </w:r>
      <w:r>
        <w:rPr>
          <w:w w:val="85"/>
        </w:rPr>
        <w:t>management</w:t>
      </w:r>
      <w:r>
        <w:rPr>
          <w:spacing w:val="9"/>
        </w:rPr>
        <w:t> </w:t>
      </w:r>
      <w:r>
        <w:rPr>
          <w:w w:val="85"/>
        </w:rPr>
        <w:t>plan</w:t>
      </w:r>
      <w:r>
        <w:rPr>
          <w:spacing w:val="9"/>
        </w:rPr>
        <w:t> </w:t>
      </w:r>
      <w:r>
        <w:rPr>
          <w:w w:val="85"/>
        </w:rPr>
        <w:t>that</w:t>
      </w:r>
      <w:r>
        <w:rPr>
          <w:spacing w:val="9"/>
        </w:rPr>
        <w:t> </w:t>
      </w:r>
      <w:r>
        <w:rPr>
          <w:w w:val="85"/>
        </w:rPr>
        <w:t>prevents</w:t>
      </w:r>
      <w:r>
        <w:rPr>
          <w:spacing w:val="9"/>
        </w:rPr>
        <w:t> </w:t>
      </w:r>
      <w:r>
        <w:rPr>
          <w:w w:val="85"/>
        </w:rPr>
        <w:t>AD</w:t>
      </w:r>
      <w:r>
        <w:rPr>
          <w:spacing w:val="10"/>
        </w:rPr>
        <w:t> </w:t>
      </w:r>
      <w:r>
        <w:rPr>
          <w:spacing w:val="-2"/>
          <w:w w:val="85"/>
        </w:rPr>
        <w:t>triggers</w:t>
      </w:r>
    </w:p>
    <w:p>
      <w:pPr>
        <w:pStyle w:val="BodyText"/>
        <w:spacing w:before="1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159987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7473pt;width:3.75pt;height:3.75pt;mso-position-horizontal-relative:page;mso-position-vertical-relative:paragraph;z-index:15734272" id="docshape12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Cardiology</w:t>
      </w:r>
      <w:r>
        <w:rPr>
          <w:rFonts w:ascii="Arial"/>
          <w:b/>
          <w:w w:val="85"/>
          <w:sz w:val="21"/>
        </w:rPr>
        <w:t>/</w:t>
      </w:r>
      <w:r>
        <w:rPr>
          <w:b/>
          <w:w w:val="85"/>
        </w:rPr>
        <w:t>autonomic</w:t>
      </w:r>
      <w:r>
        <w:rPr>
          <w:b/>
          <w:spacing w:val="-1"/>
        </w:rPr>
        <w:t> </w:t>
      </w:r>
      <w:r>
        <w:rPr>
          <w:b/>
          <w:w w:val="85"/>
        </w:rPr>
        <w:t>testing</w:t>
      </w:r>
      <w:r>
        <w:rPr>
          <w:b/>
          <w:spacing w:val="3"/>
        </w:rPr>
        <w:t> </w:t>
      </w:r>
      <w:r>
        <w:rPr>
          <w:w w:val="85"/>
        </w:rPr>
        <w:t>to</w:t>
      </w:r>
      <w:r>
        <w:rPr>
          <w:spacing w:val="4"/>
        </w:rPr>
        <w:t> </w:t>
      </w:r>
      <w:r>
        <w:rPr>
          <w:w w:val="85"/>
        </w:rPr>
        <w:t>assess</w:t>
      </w:r>
      <w:r>
        <w:rPr>
          <w:spacing w:val="4"/>
        </w:rPr>
        <w:t> </w:t>
      </w:r>
      <w:r>
        <w:rPr>
          <w:w w:val="85"/>
        </w:rPr>
        <w:t>cardiovascular</w:t>
      </w:r>
      <w:r>
        <w:rPr>
          <w:spacing w:val="4"/>
        </w:rPr>
        <w:t> </w:t>
      </w:r>
      <w:r>
        <w:rPr>
          <w:spacing w:val="-4"/>
          <w:w w:val="85"/>
        </w:rPr>
        <w:t>risk</w:t>
      </w:r>
    </w:p>
    <w:p>
      <w:pPr>
        <w:pStyle w:val="BodyText"/>
        <w:spacing w:before="72"/>
        <w:ind w:left="0"/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in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meantime</w:t>
      </w:r>
    </w:p>
    <w:p>
      <w:pPr>
        <w:pStyle w:val="BodyText"/>
        <w:spacing w:line="278" w:lineRule="auto" w:before="203"/>
        <w:ind w:right="33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194711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1648pt;width:3.75pt;height:3.75pt;mso-position-horizontal-relative:page;mso-position-vertical-relative:paragraph;z-index:15734784" id="docshape13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Do not use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Valsalva or Cred</w:t>
      </w:r>
      <w:r>
        <w:rPr>
          <w:rFonts w:ascii="Arial" w:hAnsi="Arial"/>
          <w:b/>
          <w:w w:val="85"/>
          <w:sz w:val="21"/>
        </w:rPr>
        <w:t>é </w:t>
      </w:r>
      <w:r>
        <w:rPr>
          <w:b/>
          <w:w w:val="85"/>
        </w:rPr>
        <w:t>at all </w:t>
      </w:r>
      <w:r>
        <w:rPr>
          <w:w w:val="85"/>
        </w:rPr>
        <w:t>until you have been assessed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w w:val="85"/>
        </w:rPr>
        <w:t>Each push is a potential </w:t>
      </w:r>
      <w:r>
        <w:rPr>
          <w:spacing w:val="-4"/>
        </w:rPr>
        <w:t>seizure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hemorrhage</w:t>
      </w:r>
      <w:r>
        <w:rPr>
          <w:spacing w:val="-23"/>
        </w:rPr>
        <w:t> </w:t>
      </w:r>
      <w:r>
        <w:rPr>
          <w:spacing w:val="-4"/>
        </w:rPr>
        <w:t>trigger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[5]</w:t>
      </w:r>
    </w:p>
    <w:p>
      <w:pPr>
        <w:pStyle w:val="BodyText"/>
        <w:spacing w:line="278" w:lineRule="auto" w:before="97"/>
        <w:ind w:right="33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127612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48266pt;width:3.75pt;height:3.75pt;mso-position-horizontal-relative:page;mso-position-vertical-relative:paragraph;z-index:15735296" id="docshape14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Do not wait for over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ow or cannabis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triggered voiding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If you cannot catheterize safely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go </w:t>
      </w:r>
      <w:r>
        <w:rPr>
          <w:w w:val="90"/>
        </w:rPr>
        <w:t>to the ED for catheter placement rather than risking another AD episode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right="339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If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you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feel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seizure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coming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aura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unusual</w:t>
      </w:r>
      <w:r>
        <w:rPr>
          <w:spacing w:val="-12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cognitive</w:t>
      </w:r>
      <w:r>
        <w:rPr>
          <w:spacing w:val="-12"/>
          <w:w w:val="90"/>
        </w:rPr>
        <w:t> </w:t>
      </w:r>
      <w:r>
        <w:rPr>
          <w:w w:val="90"/>
        </w:rPr>
        <w:t>fog</w:t>
      </w:r>
      <w:r>
        <w:rPr>
          <w:spacing w:val="-12"/>
          <w:w w:val="90"/>
        </w:rPr>
        <w:t> </w:t>
      </w:r>
      <w:r>
        <w:rPr>
          <w:w w:val="90"/>
        </w:rPr>
        <w:t>worsening sharply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sit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lie</w:t>
      </w:r>
      <w:r>
        <w:rPr>
          <w:spacing w:val="-13"/>
          <w:w w:val="90"/>
        </w:rPr>
        <w:t> </w:t>
      </w:r>
      <w:r>
        <w:rPr>
          <w:w w:val="90"/>
        </w:rPr>
        <w:t>down</w:t>
      </w:r>
      <w:r>
        <w:rPr>
          <w:spacing w:val="-13"/>
          <w:w w:val="90"/>
        </w:rPr>
        <w:t> </w:t>
      </w:r>
      <w:r>
        <w:rPr>
          <w:w w:val="90"/>
        </w:rPr>
        <w:t>safely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tell</w:t>
      </w:r>
      <w:r>
        <w:rPr>
          <w:spacing w:val="-13"/>
          <w:w w:val="90"/>
        </w:rPr>
        <w:t> </w:t>
      </w:r>
      <w:r>
        <w:rPr>
          <w:w w:val="90"/>
        </w:rPr>
        <w:t>someone</w:t>
      </w:r>
      <w:r>
        <w:rPr>
          <w:spacing w:val="-13"/>
          <w:w w:val="90"/>
        </w:rPr>
        <w:t> </w:t>
      </w:r>
      <w:r>
        <w:rPr>
          <w:w w:val="90"/>
        </w:rPr>
        <w:t>nearby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call</w:t>
      </w:r>
      <w:r>
        <w:rPr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911 </w:t>
      </w:r>
      <w:r>
        <w:rPr>
          <w:w w:val="90"/>
        </w:rPr>
        <w:t>if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does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pass</w:t>
      </w:r>
      <w:r>
        <w:rPr>
          <w:spacing w:val="-13"/>
          <w:w w:val="90"/>
        </w:rPr>
        <w:t> </w:t>
      </w:r>
      <w:r>
        <w:rPr>
          <w:w w:val="90"/>
        </w:rPr>
        <w:t>quickly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right="33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35"/>
          <w:sz w:val="20"/>
        </w:rPr>
        <w:t>  </w:t>
      </w:r>
      <w:r>
        <w:rPr>
          <w:b/>
          <w:w w:val="90"/>
        </w:rPr>
        <w:t>A</w:t>
      </w:r>
      <w:r>
        <w:rPr>
          <w:rFonts w:ascii="Arial"/>
          <w:b/>
          <w:spacing w:val="80"/>
          <w:sz w:val="21"/>
        </w:rPr>
        <w:t> </w:t>
      </w:r>
      <w:r>
        <w:rPr>
          <w:b/>
          <w:w w:val="90"/>
        </w:rPr>
        <w:t>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any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seizure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like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event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do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drive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operate</w:t>
      </w:r>
      <w:r>
        <w:rPr>
          <w:spacing w:val="-16"/>
          <w:w w:val="90"/>
        </w:rPr>
        <w:t> </w:t>
      </w:r>
      <w:r>
        <w:rPr>
          <w:w w:val="90"/>
        </w:rPr>
        <w:t>machinery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be</w:t>
      </w:r>
      <w:r>
        <w:rPr>
          <w:spacing w:val="-16"/>
          <w:w w:val="90"/>
        </w:rPr>
        <w:t> </w:t>
      </w:r>
      <w:r>
        <w:rPr>
          <w:w w:val="90"/>
        </w:rPr>
        <w:t>alone</w:t>
      </w:r>
      <w:r>
        <w:rPr>
          <w:spacing w:val="-16"/>
          <w:w w:val="90"/>
        </w:rPr>
        <w:t> </w:t>
      </w:r>
      <w:r>
        <w:rPr>
          <w:w w:val="90"/>
        </w:rPr>
        <w:t>until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have </w:t>
      </w:r>
      <w:r>
        <w:rPr/>
        <w:t>been</w:t>
      </w:r>
      <w:r>
        <w:rPr>
          <w:spacing w:val="-23"/>
        </w:rPr>
        <w:t> </w:t>
      </w:r>
      <w:r>
        <w:rPr/>
        <w:t>medically</w:t>
      </w:r>
      <w:r>
        <w:rPr>
          <w:spacing w:val="-23"/>
        </w:rPr>
        <w:t> </w:t>
      </w:r>
      <w:r>
        <w:rPr/>
        <w:t>cleared</w:t>
      </w:r>
      <w:r>
        <w:rPr>
          <w:rFonts w:ascii="Arial"/>
          <w:sz w:val="21"/>
        </w:rPr>
        <w:t>.</w:t>
      </w:r>
    </w:p>
    <w:p>
      <w:pPr>
        <w:pStyle w:val="BodyText"/>
        <w:spacing w:line="278" w:lineRule="auto" w:before="107"/>
        <w:ind w:left="284" w:right="439"/>
        <w:rPr>
          <w:rFonts w:ascii="Calibri"/>
          <w:sz w:val="21"/>
        </w:rPr>
      </w:pP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point</w:t>
      </w:r>
      <w:r>
        <w:rPr>
          <w:spacing w:val="-15"/>
          <w:w w:val="90"/>
        </w:rPr>
        <w:t> </w:t>
      </w:r>
      <w:r>
        <w:rPr>
          <w:w w:val="90"/>
        </w:rPr>
        <w:t>where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pattern</w:t>
      </w:r>
      <w:r>
        <w:rPr>
          <w:spacing w:val="-15"/>
          <w:w w:val="90"/>
        </w:rPr>
        <w:t> </w:t>
      </w:r>
      <w:r>
        <w:rPr>
          <w:w w:val="90"/>
        </w:rPr>
        <w:t>stops</w:t>
      </w:r>
      <w:r>
        <w:rPr>
          <w:spacing w:val="-15"/>
          <w:w w:val="90"/>
        </w:rPr>
        <w:t> </w:t>
      </w:r>
      <w:r>
        <w:rPr>
          <w:w w:val="90"/>
        </w:rPr>
        <w:t>being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chronic</w:t>
      </w:r>
      <w:r>
        <w:rPr>
          <w:spacing w:val="-15"/>
          <w:w w:val="90"/>
        </w:rPr>
        <w:t> </w:t>
      </w:r>
      <w:r>
        <w:rPr>
          <w:w w:val="90"/>
        </w:rPr>
        <w:t>management</w:t>
      </w:r>
      <w:r>
        <w:rPr>
          <w:spacing w:val="-15"/>
          <w:w w:val="90"/>
        </w:rPr>
        <w:t> </w:t>
      </w:r>
      <w:r>
        <w:rPr>
          <w:w w:val="90"/>
        </w:rPr>
        <w:t>problem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becomes an acute safety issue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seizure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like events are the complication that turns AD from </w:t>
      </w:r>
      <w:r>
        <w:rPr>
          <w:rFonts w:ascii="Arial"/>
          <w:spacing w:val="-6"/>
          <w:sz w:val="21"/>
        </w:rPr>
        <w:t>"</w:t>
      </w:r>
      <w:r>
        <w:rPr>
          <w:spacing w:val="-6"/>
        </w:rPr>
        <w:t>dangerous</w:t>
      </w:r>
      <w:r>
        <w:rPr>
          <w:spacing w:val="-16"/>
        </w:rPr>
        <w:t> </w:t>
      </w:r>
      <w:r>
        <w:rPr>
          <w:spacing w:val="-6"/>
        </w:rPr>
        <w:t>if</w:t>
      </w:r>
      <w:r>
        <w:rPr>
          <w:spacing w:val="-16"/>
        </w:rPr>
        <w:t> </w:t>
      </w:r>
      <w:r>
        <w:rPr>
          <w:spacing w:val="-6"/>
        </w:rPr>
        <w:t>untreated</w:t>
      </w:r>
      <w:r>
        <w:rPr>
          <w:rFonts w:ascii="Arial"/>
          <w:spacing w:val="-6"/>
          <w:sz w:val="21"/>
        </w:rPr>
        <w:t>" </w:t>
      </w:r>
      <w:r>
        <w:rPr>
          <w:spacing w:val="-6"/>
        </w:rPr>
        <w:t>into</w:t>
      </w:r>
      <w:r>
        <w:rPr>
          <w:spacing w:val="-16"/>
        </w:rPr>
        <w:t> </w:t>
      </w:r>
      <w:r>
        <w:rPr>
          <w:rFonts w:ascii="Arial"/>
          <w:spacing w:val="-6"/>
          <w:sz w:val="21"/>
        </w:rPr>
        <w:t>"</w:t>
      </w:r>
      <w:r>
        <w:rPr>
          <w:spacing w:val="-6"/>
        </w:rPr>
        <w:t>actively</w:t>
      </w:r>
      <w:r>
        <w:rPr>
          <w:spacing w:val="-16"/>
        </w:rPr>
        <w:t> </w:t>
      </w:r>
      <w:r>
        <w:rPr>
          <w:spacing w:val="-6"/>
        </w:rPr>
        <w:t>causing</w:t>
      </w:r>
      <w:r>
        <w:rPr>
          <w:spacing w:val="-16"/>
        </w:rPr>
        <w:t> </w:t>
      </w:r>
      <w:r>
        <w:rPr>
          <w:spacing w:val="-6"/>
        </w:rPr>
        <w:t>brain</w:t>
      </w:r>
      <w:r>
        <w:rPr>
          <w:spacing w:val="-16"/>
        </w:rPr>
        <w:t> </w:t>
      </w:r>
      <w:r>
        <w:rPr>
          <w:spacing w:val="-6"/>
        </w:rPr>
        <w:t>injury</w:t>
      </w:r>
      <w:r>
        <w:rPr>
          <w:rFonts w:ascii="Arial"/>
          <w:spacing w:val="-6"/>
          <w:sz w:val="21"/>
        </w:rPr>
        <w:t>."</w:t>
      </w:r>
      <w:r>
        <w:rPr>
          <w:rFonts w:ascii="Arial"/>
          <w:spacing w:val="-28"/>
          <w:sz w:val="21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[1]</w:t>
      </w:r>
      <w:r>
        <w:rPr>
          <w:rFonts w:ascii="Calibri"/>
          <w:spacing w:val="13"/>
          <w:sz w:val="21"/>
          <w:u w:val="single"/>
          <w:vertAlign w:val="baseline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[5]</w:t>
      </w:r>
    </w:p>
    <w:p>
      <w:pPr>
        <w:spacing w:before="23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90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ov/articles/PMC4066548/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ov/articles/PMC3019008/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https://radiopaedia.org/articles/autonomic-dysreflexia-1?lang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us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ov/articles/PMC9473833/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https://www.bm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.com/content/371/bm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.m3596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ov/19666350/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ov/articles/PMC4637816/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ov/articles/PMC3501908/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https://sci-bc.ca/resource/clinical-practice-guidelines-acute-management-of-autonomic-dysreflexia/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https://icord.org/2013/07/autonomic-dysreflexia-a</w:t>
        </w:r>
        <w:r>
          <w:rPr>
            <w:rFonts w:ascii="Arial"/>
            <w:spacing w:val="58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er-spinal-cord-injury/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34" w:after="0"/>
        <w:ind w:left="704" w:right="370" w:hanging="297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17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ov/articles/PMC11114388/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ov/37518895/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ov/articles/PMC6572755/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ov/articles/PMC2478694/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Noto Sans">
    <w:altName w:val="Noto Sans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4"/>
      <w:ind w:left="314" w:right="339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pmc.ncbi.nlm.nih.gov/articles/PMC4066548/" TargetMode="External"/><Relationship Id="rId8" Type="http://schemas.openxmlformats.org/officeDocument/2006/relationships/hyperlink" Target="https://pmc.ncbi.nlm.nih.gov/articles/PMC3019008/" TargetMode="External"/><Relationship Id="rId9" Type="http://schemas.openxmlformats.org/officeDocument/2006/relationships/hyperlink" Target="https://radiopaedia.org/articles/autonomic-dysreflexia-1?lang=us" TargetMode="External"/><Relationship Id="rId10" Type="http://schemas.openxmlformats.org/officeDocument/2006/relationships/hyperlink" Target="https://pmc.ncbi.nlm.nih.gov/articles/PMC9473833/" TargetMode="External"/><Relationship Id="rId11" Type="http://schemas.openxmlformats.org/officeDocument/2006/relationships/hyperlink" Target="https://www.bmj.com/content/371/bmj.m3596" TargetMode="External"/><Relationship Id="rId12" Type="http://schemas.openxmlformats.org/officeDocument/2006/relationships/hyperlink" Target="https://pubmed.ncbi.nlm.nih.gov/19666350/" TargetMode="External"/><Relationship Id="rId13" Type="http://schemas.openxmlformats.org/officeDocument/2006/relationships/hyperlink" Target="https://pmc.ncbi.nlm.nih.gov/articles/PMC4637816/" TargetMode="External"/><Relationship Id="rId14" Type="http://schemas.openxmlformats.org/officeDocument/2006/relationships/hyperlink" Target="https://pmc.ncbi.nlm.nih.gov/articles/PMC3501908/" TargetMode="External"/><Relationship Id="rId15" Type="http://schemas.openxmlformats.org/officeDocument/2006/relationships/hyperlink" Target="https://sci-bc.ca/resource/clinical-practice-guidelines-acute-management-of-autonomic-dysreflexia/" TargetMode="External"/><Relationship Id="rId16" Type="http://schemas.openxmlformats.org/officeDocument/2006/relationships/hyperlink" Target="https://icord.org/2013/07/autonomic-dysreflexia-after-spinal-cord-injury/" TargetMode="External"/><Relationship Id="rId17" Type="http://schemas.openxmlformats.org/officeDocument/2006/relationships/hyperlink" Target="https://www.care-learning.com/blog/managing-autonomic-dysreflexia-a-comprehensive-guide-to-symptoms-causes-and-treatment-for-healthcare-professionals" TargetMode="External"/><Relationship Id="rId18" Type="http://schemas.openxmlformats.org/officeDocument/2006/relationships/hyperlink" Target="https://pmc.ncbi.nlm.nih.gov/articles/PMC11114388/" TargetMode="External"/><Relationship Id="rId19" Type="http://schemas.openxmlformats.org/officeDocument/2006/relationships/hyperlink" Target="https://pubmed.ncbi.nlm.nih.gov/37518895/" TargetMode="External"/><Relationship Id="rId20" Type="http://schemas.openxmlformats.org/officeDocument/2006/relationships/hyperlink" Target="https://pmc.ncbi.nlm.nih.gov/articles/PMC6572755/" TargetMode="External"/><Relationship Id="rId21" Type="http://schemas.openxmlformats.org/officeDocument/2006/relationships/hyperlink" Target="https://pmc.ncbi.nlm.nih.gov/articles/PMC2478694/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2026-11-01T20:02:13Z</dcterms:created>
  <dcterms:modified xsi:type="dcterms:W3CDTF">2026-11-01T20:02:13Z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